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numId w:val="0"/>
        </w:numPr>
        <w:snapToGrid w:val="0"/>
        <w:spacing w:line="400" w:lineRule="exact"/>
        <w:ind w:firstLine="880" w:firstLineChars="200"/>
        <w:jc w:val="center"/>
        <w:rPr>
          <w:rFonts w:hint="eastAsia" w:ascii="方正小标宋_GBK" w:hAnsi="方正小标宋_GBK" w:eastAsia="方正小标宋_GBK" w:cs="方正小标宋_GBK"/>
          <w:b w:val="0"/>
          <w:bCs w:val="0"/>
          <w:kern w:val="2"/>
          <w:sz w:val="44"/>
          <w:szCs w:val="44"/>
        </w:rPr>
      </w:pPr>
    </w:p>
    <w:p>
      <w:pPr>
        <w:widowControl/>
        <w:numPr>
          <w:numId w:val="0"/>
        </w:numPr>
        <w:snapToGrid w:val="0"/>
        <w:spacing w:line="400" w:lineRule="exact"/>
        <w:ind w:firstLine="880" w:firstLineChars="200"/>
        <w:jc w:val="center"/>
        <w:rPr>
          <w:rFonts w:hint="eastAsia" w:ascii="方正小标宋_GBK" w:hAnsi="方正小标宋_GBK" w:eastAsia="方正小标宋_GBK" w:cs="方正小标宋_GBK"/>
          <w:b w:val="0"/>
          <w:bCs w:val="0"/>
          <w:kern w:val="2"/>
          <w:sz w:val="44"/>
          <w:szCs w:val="44"/>
        </w:rPr>
      </w:pPr>
      <w:bookmarkStart w:id="0" w:name="_GoBack"/>
      <w:r>
        <w:rPr>
          <w:rFonts w:hint="eastAsia" w:ascii="方正小标宋_GBK" w:hAnsi="方正小标宋_GBK" w:eastAsia="方正小标宋_GBK" w:cs="方正小标宋_GBK"/>
          <w:b w:val="0"/>
          <w:bCs w:val="0"/>
          <w:kern w:val="2"/>
          <w:sz w:val="44"/>
          <w:szCs w:val="44"/>
        </w:rPr>
        <w:t>拟审查的建设项目</w:t>
      </w:r>
      <w:r>
        <w:rPr>
          <w:rFonts w:hint="eastAsia" w:ascii="方正小标宋_GBK" w:hAnsi="方正小标宋_GBK" w:eastAsia="方正小标宋_GBK" w:cs="方正小标宋_GBK"/>
          <w:b w:val="0"/>
          <w:bCs w:val="0"/>
          <w:kern w:val="2"/>
          <w:sz w:val="44"/>
          <w:szCs w:val="44"/>
        </w:rPr>
        <w:t>环境影响评价</w:t>
      </w:r>
      <w:r>
        <w:rPr>
          <w:rFonts w:hint="eastAsia" w:ascii="方正小标宋_GBK" w:hAnsi="方正小标宋_GBK" w:eastAsia="方正小标宋_GBK" w:cs="方正小标宋_GBK"/>
          <w:b w:val="0"/>
          <w:bCs w:val="0"/>
          <w:kern w:val="2"/>
          <w:sz w:val="44"/>
          <w:szCs w:val="44"/>
        </w:rPr>
        <w:t>文件</w:t>
      </w:r>
      <w:bookmarkEnd w:id="0"/>
    </w:p>
    <w:p>
      <w:pPr>
        <w:pStyle w:val="2"/>
        <w:rPr>
          <w:rFonts w:hint="eastAsia"/>
        </w:rPr>
      </w:pPr>
    </w:p>
    <w:p>
      <w:pPr>
        <w:pStyle w:val="2"/>
        <w:rPr>
          <w:rFonts w:hint="eastAsia" w:asciiTheme="minorHAnsi" w:hAnsiTheme="minorHAnsi" w:eastAsiaTheme="minorEastAsia" w:cstheme="minorBidi"/>
          <w:b/>
          <w:bCs/>
          <w:kern w:val="2"/>
          <w:szCs w:val="28"/>
        </w:rPr>
      </w:pPr>
    </w:p>
    <w:tbl>
      <w:tblPr>
        <w:tblStyle w:val="7"/>
        <w:tblW w:w="15288"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
      <w:tblGrid>
        <w:gridCol w:w="596"/>
        <w:gridCol w:w="1273"/>
        <w:gridCol w:w="810"/>
        <w:gridCol w:w="990"/>
        <w:gridCol w:w="1365"/>
        <w:gridCol w:w="2318"/>
        <w:gridCol w:w="793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505" w:hRule="atLeast"/>
          <w:jc w:val="center"/>
        </w:trPr>
        <w:tc>
          <w:tcPr>
            <w:tcW w:w="596" w:type="dxa"/>
            <w:vAlign w:val="center"/>
          </w:tcPr>
          <w:p>
            <w:pPr>
              <w:widowControl/>
              <w:spacing w:line="300" w:lineRule="exact"/>
              <w:rPr>
                <w:rFonts w:ascii="Times New Roman" w:hAnsi="Times New Roman" w:eastAsia="宋体" w:cs="Times New Roman"/>
                <w:b/>
                <w:kern w:val="0"/>
                <w:sz w:val="21"/>
                <w:szCs w:val="21"/>
              </w:rPr>
            </w:pPr>
            <w:r>
              <w:rPr>
                <w:rFonts w:ascii="Times New Roman" w:hAnsi="宋体" w:eastAsia="宋体" w:cs="Times New Roman"/>
                <w:b/>
                <w:bCs/>
                <w:kern w:val="0"/>
                <w:sz w:val="21"/>
                <w:szCs w:val="21"/>
              </w:rPr>
              <w:t>序号</w:t>
            </w:r>
          </w:p>
        </w:tc>
        <w:tc>
          <w:tcPr>
            <w:tcW w:w="1273" w:type="dxa"/>
            <w:vAlign w:val="center"/>
          </w:tcPr>
          <w:p>
            <w:pPr>
              <w:widowControl/>
              <w:spacing w:line="300" w:lineRule="exact"/>
              <w:rPr>
                <w:rFonts w:ascii="Times New Roman" w:hAnsi="Times New Roman" w:eastAsia="宋体" w:cs="Times New Roman"/>
                <w:b/>
                <w:kern w:val="0"/>
                <w:sz w:val="21"/>
                <w:szCs w:val="21"/>
              </w:rPr>
            </w:pPr>
            <w:r>
              <w:rPr>
                <w:rFonts w:ascii="Times New Roman" w:hAnsi="宋体" w:eastAsia="宋体" w:cs="Times New Roman"/>
                <w:b/>
                <w:bCs/>
                <w:kern w:val="0"/>
                <w:sz w:val="21"/>
                <w:szCs w:val="21"/>
              </w:rPr>
              <w:t>项目名称</w:t>
            </w:r>
          </w:p>
        </w:tc>
        <w:tc>
          <w:tcPr>
            <w:tcW w:w="810" w:type="dxa"/>
            <w:vAlign w:val="center"/>
          </w:tcPr>
          <w:p>
            <w:pPr>
              <w:widowControl/>
              <w:spacing w:line="300" w:lineRule="exact"/>
              <w:rPr>
                <w:rFonts w:ascii="Times New Roman" w:hAnsi="Times New Roman" w:eastAsia="宋体" w:cs="Times New Roman"/>
                <w:b/>
                <w:kern w:val="0"/>
                <w:sz w:val="21"/>
                <w:szCs w:val="21"/>
              </w:rPr>
            </w:pPr>
            <w:r>
              <w:rPr>
                <w:rFonts w:ascii="Times New Roman" w:hAnsi="宋体" w:eastAsia="宋体" w:cs="Times New Roman"/>
                <w:b/>
                <w:bCs/>
                <w:kern w:val="0"/>
                <w:sz w:val="21"/>
                <w:szCs w:val="21"/>
              </w:rPr>
              <w:t>建设地点</w:t>
            </w:r>
          </w:p>
        </w:tc>
        <w:tc>
          <w:tcPr>
            <w:tcW w:w="990" w:type="dxa"/>
            <w:vAlign w:val="center"/>
          </w:tcPr>
          <w:p>
            <w:pPr>
              <w:widowControl/>
              <w:spacing w:line="300" w:lineRule="exact"/>
              <w:rPr>
                <w:rFonts w:ascii="Times New Roman" w:hAnsi="Times New Roman" w:eastAsia="宋体" w:cs="Times New Roman"/>
                <w:b/>
                <w:kern w:val="0"/>
                <w:sz w:val="21"/>
                <w:szCs w:val="21"/>
              </w:rPr>
            </w:pPr>
            <w:r>
              <w:rPr>
                <w:rFonts w:ascii="Times New Roman" w:hAnsi="宋体" w:eastAsia="宋体" w:cs="Times New Roman"/>
                <w:b/>
                <w:bCs/>
                <w:kern w:val="0"/>
                <w:sz w:val="21"/>
                <w:szCs w:val="21"/>
              </w:rPr>
              <w:t>建设单位</w:t>
            </w:r>
          </w:p>
        </w:tc>
        <w:tc>
          <w:tcPr>
            <w:tcW w:w="1365" w:type="dxa"/>
          </w:tcPr>
          <w:p>
            <w:pPr>
              <w:widowControl/>
              <w:spacing w:line="300" w:lineRule="exact"/>
              <w:rPr>
                <w:rFonts w:ascii="Times New Roman" w:hAnsi="宋体" w:eastAsia="宋体" w:cs="Times New Roman"/>
                <w:b/>
                <w:bCs/>
                <w:kern w:val="0"/>
                <w:sz w:val="21"/>
                <w:szCs w:val="21"/>
              </w:rPr>
            </w:pPr>
            <w:r>
              <w:rPr>
                <w:rFonts w:hint="eastAsia" w:ascii="Times New Roman" w:hAnsi="宋体" w:eastAsia="宋体" w:cs="Times New Roman"/>
                <w:b/>
                <w:bCs/>
                <w:kern w:val="0"/>
                <w:sz w:val="21"/>
                <w:szCs w:val="21"/>
              </w:rPr>
              <w:t>环境影响评价机构</w:t>
            </w:r>
          </w:p>
        </w:tc>
        <w:tc>
          <w:tcPr>
            <w:tcW w:w="2318" w:type="dxa"/>
            <w:vAlign w:val="center"/>
          </w:tcPr>
          <w:p>
            <w:pPr>
              <w:widowControl/>
              <w:spacing w:line="300" w:lineRule="exact"/>
              <w:rPr>
                <w:rFonts w:ascii="Times New Roman" w:hAnsi="宋体" w:eastAsia="宋体" w:cs="Times New Roman"/>
                <w:b/>
                <w:bCs/>
                <w:kern w:val="0"/>
                <w:sz w:val="21"/>
                <w:szCs w:val="21"/>
              </w:rPr>
            </w:pPr>
            <w:r>
              <w:rPr>
                <w:rFonts w:hint="eastAsia" w:ascii="Times New Roman" w:hAnsi="宋体" w:eastAsia="宋体" w:cs="Times New Roman"/>
                <w:b/>
                <w:bCs/>
                <w:kern w:val="0"/>
                <w:sz w:val="21"/>
                <w:szCs w:val="21"/>
              </w:rPr>
              <w:t>项目概况</w:t>
            </w:r>
          </w:p>
        </w:tc>
        <w:tc>
          <w:tcPr>
            <w:tcW w:w="7936" w:type="dxa"/>
            <w:vAlign w:val="center"/>
          </w:tcPr>
          <w:p>
            <w:pPr>
              <w:widowControl/>
              <w:spacing w:line="300" w:lineRule="exact"/>
              <w:rPr>
                <w:rFonts w:ascii="Times New Roman" w:hAnsi="Times New Roman" w:eastAsia="宋体" w:cs="Times New Roman"/>
                <w:b/>
                <w:kern w:val="0"/>
                <w:sz w:val="21"/>
                <w:szCs w:val="21"/>
              </w:rPr>
            </w:pPr>
            <w:r>
              <w:rPr>
                <w:rFonts w:hint="eastAsia" w:ascii="Times New Roman" w:hAnsi="Times New Roman" w:eastAsia="宋体" w:cs="Times New Roman"/>
                <w:b/>
                <w:kern w:val="0"/>
                <w:sz w:val="21"/>
                <w:szCs w:val="21"/>
              </w:rPr>
              <w:t>主要环境影响及预防或者减轻不良影响的对策和措施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2945" w:hRule="atLeast"/>
          <w:jc w:val="center"/>
        </w:trPr>
        <w:tc>
          <w:tcPr>
            <w:tcW w:w="596" w:type="dxa"/>
            <w:shd w:val="clear" w:color="auto" w:fill="auto"/>
            <w:vAlign w:val="center"/>
          </w:tcPr>
          <w:p>
            <w:pPr>
              <w:autoSpaceDN w:val="0"/>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273" w:type="dxa"/>
            <w:shd w:val="clear" w:color="auto" w:fill="auto"/>
            <w:vAlign w:val="center"/>
          </w:tcPr>
          <w:p>
            <w:pPr>
              <w:widowControl/>
              <w:rPr>
                <w:rFonts w:ascii="Times New Roman" w:hAnsi="宋体" w:eastAsia="宋体" w:cs="Times New Roman"/>
                <w:kern w:val="0"/>
                <w:sz w:val="21"/>
                <w:szCs w:val="21"/>
              </w:rPr>
            </w:pPr>
            <w:r>
              <w:rPr>
                <w:rFonts w:hint="eastAsia" w:ascii="Times New Roman" w:hAnsi="Times New Roman"/>
                <w:kern w:val="0"/>
                <w:sz w:val="21"/>
                <w:szCs w:val="21"/>
                <w:lang w:eastAsia="zh-CN"/>
              </w:rPr>
              <w:t>中国巴利语系高级佛学院</w:t>
            </w:r>
          </w:p>
        </w:tc>
        <w:tc>
          <w:tcPr>
            <w:tcW w:w="810" w:type="dxa"/>
            <w:shd w:val="clear" w:color="auto" w:fill="auto"/>
            <w:vAlign w:val="center"/>
          </w:tcPr>
          <w:p>
            <w:pPr>
              <w:widowControl/>
              <w:spacing w:line="240" w:lineRule="atLeast"/>
              <w:jc w:val="center"/>
              <w:rPr>
                <w:rFonts w:ascii="Times New Roman" w:hAnsi="宋体" w:eastAsia="宋体" w:cs="Times New Roman"/>
                <w:kern w:val="0"/>
                <w:sz w:val="21"/>
                <w:szCs w:val="21"/>
              </w:rPr>
            </w:pPr>
            <w:r>
              <w:rPr>
                <w:rFonts w:hint="eastAsia" w:cs="Calibri"/>
                <w:color w:val="333333"/>
                <w:kern w:val="0"/>
                <w:sz w:val="21"/>
                <w:szCs w:val="21"/>
              </w:rPr>
              <w:t>西双版纳</w:t>
            </w:r>
            <w:r>
              <w:rPr>
                <w:rFonts w:cs="Calibri"/>
                <w:color w:val="333333"/>
                <w:kern w:val="0"/>
                <w:sz w:val="21"/>
                <w:szCs w:val="21"/>
              </w:rPr>
              <w:t>度假区二期</w:t>
            </w:r>
            <w:r>
              <w:rPr>
                <w:rFonts w:hint="eastAsia" w:cs="Calibri"/>
                <w:color w:val="333333"/>
                <w:kern w:val="0"/>
                <w:sz w:val="21"/>
                <w:szCs w:val="21"/>
              </w:rPr>
              <w:t>10号</w:t>
            </w:r>
            <w:r>
              <w:rPr>
                <w:rFonts w:cs="Calibri"/>
                <w:color w:val="333333"/>
                <w:kern w:val="0"/>
                <w:sz w:val="21"/>
                <w:szCs w:val="21"/>
              </w:rPr>
              <w:t>路（</w:t>
            </w:r>
            <w:r>
              <w:rPr>
                <w:rFonts w:hint="eastAsia" w:cs="Calibri"/>
                <w:color w:val="333333"/>
                <w:kern w:val="0"/>
                <w:sz w:val="21"/>
                <w:szCs w:val="21"/>
              </w:rPr>
              <w:t>南侧）</w:t>
            </w:r>
          </w:p>
        </w:tc>
        <w:tc>
          <w:tcPr>
            <w:tcW w:w="990" w:type="dxa"/>
            <w:shd w:val="clear" w:color="auto" w:fill="auto"/>
            <w:vAlign w:val="center"/>
          </w:tcPr>
          <w:p>
            <w:pPr>
              <w:widowControl/>
              <w:spacing w:line="240" w:lineRule="atLeast"/>
              <w:jc w:val="center"/>
              <w:rPr>
                <w:rFonts w:ascii="Times New Roman" w:hAnsi="宋体" w:eastAsia="宋体" w:cs="Times New Roman"/>
                <w:kern w:val="0"/>
                <w:sz w:val="21"/>
                <w:szCs w:val="21"/>
              </w:rPr>
            </w:pPr>
            <w:r>
              <w:rPr>
                <w:rFonts w:hint="eastAsia" w:cs="Calibri"/>
                <w:bCs/>
                <w:color w:val="333333"/>
                <w:kern w:val="0"/>
                <w:sz w:val="21"/>
                <w:szCs w:val="21"/>
              </w:rPr>
              <w:t>西双版纳州民族宗教事务局</w:t>
            </w:r>
          </w:p>
        </w:tc>
        <w:tc>
          <w:tcPr>
            <w:tcW w:w="1365" w:type="dxa"/>
            <w:shd w:val="clear" w:color="auto" w:fill="auto"/>
            <w:vAlign w:val="center"/>
          </w:tcPr>
          <w:p>
            <w:pPr>
              <w:widowControl/>
              <w:rPr>
                <w:rFonts w:ascii="Times New Roman" w:hAnsi="宋体" w:eastAsia="宋体" w:cs="Times New Roman"/>
                <w:kern w:val="0"/>
                <w:sz w:val="21"/>
                <w:szCs w:val="21"/>
              </w:rPr>
            </w:pPr>
            <w:r>
              <w:rPr>
                <w:rFonts w:hint="eastAsia" w:cs="Calibri"/>
                <w:color w:val="333333"/>
                <w:kern w:val="0"/>
                <w:sz w:val="21"/>
                <w:szCs w:val="21"/>
              </w:rPr>
              <w:t>云南保兴环境科技咨询有限公司</w:t>
            </w:r>
          </w:p>
        </w:tc>
        <w:tc>
          <w:tcPr>
            <w:tcW w:w="2318" w:type="dxa"/>
            <w:shd w:val="clear" w:color="auto" w:fill="auto"/>
            <w:vAlign w:val="center"/>
          </w:tcPr>
          <w:p>
            <w:pPr>
              <w:autoSpaceDN w:val="0"/>
              <w:rPr>
                <w:sz w:val="21"/>
                <w:szCs w:val="21"/>
              </w:rPr>
            </w:pPr>
            <w:r>
              <w:rPr>
                <w:rFonts w:hint="eastAsia"/>
                <w:sz w:val="21"/>
                <w:szCs w:val="21"/>
              </w:rPr>
              <w:t>景洪市城市投资开发有限公司投资3259.0959万元建设“景洪大桥至景兰大桥市政基础设施建设工程·江南观礼台至龙舟路截污干管及城南（冠嘉冠城）排放口项目”，项目主要建设内容为：截污干管、提升泵、相关阀门及检查井、道路恢复和绿化恢复等。截污管网铺设于道路下方，管道收集污水最终进入江南污水处理厂进行处理。</w:t>
            </w:r>
          </w:p>
          <w:p>
            <w:pPr>
              <w:autoSpaceDN w:val="0"/>
              <w:rPr>
                <w:rFonts w:hint="eastAsia" w:ascii="Times New Roman" w:hAnsi="宋体" w:eastAsia="宋体" w:cs="Times New Roman"/>
                <w:kern w:val="0"/>
                <w:sz w:val="21"/>
                <w:szCs w:val="21"/>
                <w:lang w:eastAsia="zh-CN"/>
              </w:rPr>
            </w:pPr>
          </w:p>
        </w:tc>
        <w:tc>
          <w:tcPr>
            <w:tcW w:w="7936" w:type="dxa"/>
            <w:shd w:val="clear" w:color="auto" w:fill="auto"/>
            <w:vAlign w:val="center"/>
          </w:tcPr>
          <w:p>
            <w:pPr>
              <w:autoSpaceDN w:val="0"/>
              <w:jc w:val="both"/>
              <w:rPr>
                <w:rFonts w:hint="eastAsia"/>
                <w:sz w:val="21"/>
                <w:szCs w:val="21"/>
              </w:rPr>
            </w:pPr>
            <w:r>
              <w:rPr>
                <w:rFonts w:hint="eastAsia"/>
                <w:sz w:val="21"/>
                <w:szCs w:val="21"/>
              </w:rPr>
              <w:t>项目主要环境影响：（1）施工期影响：①废气：主要为</w:t>
            </w:r>
            <w:r>
              <w:rPr>
                <w:sz w:val="21"/>
                <w:szCs w:val="21"/>
              </w:rPr>
              <w:t>施工扬尘</w:t>
            </w:r>
            <w:r>
              <w:rPr>
                <w:rFonts w:hint="eastAsia"/>
                <w:sz w:val="21"/>
                <w:szCs w:val="21"/>
              </w:rPr>
              <w:t>、</w:t>
            </w:r>
            <w:r>
              <w:rPr>
                <w:sz w:val="21"/>
                <w:szCs w:val="21"/>
              </w:rPr>
              <w:t>燃油机械及运输车辆的尾气</w:t>
            </w:r>
            <w:r>
              <w:rPr>
                <w:rFonts w:hint="eastAsia"/>
                <w:sz w:val="21"/>
                <w:szCs w:val="21"/>
              </w:rPr>
              <w:t>和沥青烟；②废水：主要为施工废水；③固体废物：主要为土石方和建筑垃圾；④噪声：主要为施工机械设备噪声。（2）运营期影响：①废气：主要来源于污水提升泵站；②固体废物：主要来源于拦渣格栅井打捞的生活垃圾、污水提升泵的底泥； ③噪声：主要来源于污水提升泵。项目预防与减轻不良环境影响的对策和措施：（1）施工期对策措施：①废气：施工场尘采取洒水抑尘、设置临时围挡车辆加盖篷布，</w:t>
            </w:r>
            <w:r>
              <w:rPr>
                <w:sz w:val="21"/>
                <w:szCs w:val="21"/>
              </w:rPr>
              <w:t>燃油机械及运输车辆的尾气</w:t>
            </w:r>
            <w:r>
              <w:rPr>
                <w:rFonts w:hint="eastAsia"/>
                <w:sz w:val="21"/>
                <w:szCs w:val="21"/>
              </w:rPr>
              <w:t>采取自然扩散方式，沥青烟采用灌装沥青专用车辆装运，不在现场拌合；</w:t>
            </w:r>
          </w:p>
          <w:p>
            <w:pPr>
              <w:autoSpaceDN w:val="0"/>
              <w:jc w:val="both"/>
              <w:rPr>
                <w:rFonts w:hint="eastAsia"/>
                <w:sz w:val="21"/>
                <w:szCs w:val="21"/>
              </w:rPr>
            </w:pPr>
            <w:r>
              <w:rPr>
                <w:rFonts w:hint="eastAsia"/>
                <w:sz w:val="21"/>
                <w:szCs w:val="21"/>
              </w:rPr>
              <w:t xml:space="preserve">②废水：设置沉淀池，经统一收集沉淀后回用于场地洒水抑尘、机械冲洗； </w:t>
            </w:r>
          </w:p>
          <w:p>
            <w:pPr>
              <w:autoSpaceDN w:val="0"/>
              <w:jc w:val="both"/>
              <w:rPr>
                <w:rFonts w:hint="eastAsia"/>
                <w:sz w:val="21"/>
                <w:szCs w:val="21"/>
              </w:rPr>
            </w:pPr>
            <w:r>
              <w:rPr>
                <w:rFonts w:hint="eastAsia"/>
                <w:sz w:val="21"/>
                <w:szCs w:val="21"/>
              </w:rPr>
              <w:t>③固体废物：土石方部分回用，剩余部分弃至合理处置场进行处置，建筑垃圾可再生利用的回收，其他</w:t>
            </w:r>
            <w:r>
              <w:rPr>
                <w:sz w:val="21"/>
                <w:szCs w:val="21"/>
              </w:rPr>
              <w:t>运往专门的堆放场</w:t>
            </w:r>
            <w:r>
              <w:rPr>
                <w:rFonts w:hint="eastAsia"/>
                <w:sz w:val="21"/>
                <w:szCs w:val="21"/>
              </w:rPr>
              <w:t>； ④噪声：</w:t>
            </w:r>
            <w:r>
              <w:rPr>
                <w:sz w:val="21"/>
                <w:szCs w:val="21"/>
              </w:rPr>
              <w:t>由于施工期较为短暂，只要合理安排作业时间，避免夜间施工，对周围居民点的影响可以降至最低。</w:t>
            </w:r>
            <w:r>
              <w:rPr>
                <w:rFonts w:hint="eastAsia"/>
                <w:sz w:val="21"/>
                <w:szCs w:val="21"/>
              </w:rPr>
              <w:t xml:space="preserve"> （2）运营期对策措施：①废气：封闭式泵站，种植绿化隔离带，定期清运格栅井垃圾及清掏底泥；②固体废物：拦渣格栅井打捞的生活垃圾统一收集后交由环卫部门处理，污水提升泵的底泥每年定期由环卫部门清掏；</w:t>
            </w:r>
          </w:p>
          <w:p>
            <w:pPr>
              <w:autoSpaceDN w:val="0"/>
              <w:jc w:val="both"/>
              <w:rPr>
                <w:rFonts w:ascii="Times New Roman" w:hAnsi="Times New Roman" w:eastAsia="宋体" w:cs="Times New Roman"/>
                <w:kern w:val="0"/>
                <w:sz w:val="21"/>
                <w:szCs w:val="21"/>
              </w:rPr>
            </w:pPr>
            <w:r>
              <w:rPr>
                <w:rFonts w:hint="eastAsia"/>
                <w:sz w:val="21"/>
                <w:szCs w:val="21"/>
              </w:rPr>
              <w:t>③噪声：主要来源于水泵的机械噪声，分贝值约90~100dB(A)，通过将水泵设于水下，底座减震，墙壁隔声等措施，对周围影响小。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2945" w:hRule="atLeast"/>
          <w:jc w:val="center"/>
        </w:trPr>
        <w:tc>
          <w:tcPr>
            <w:tcW w:w="596" w:type="dxa"/>
            <w:shd w:val="clear" w:color="auto" w:fill="auto"/>
            <w:vAlign w:val="center"/>
          </w:tcPr>
          <w:p>
            <w:pPr>
              <w:autoSpaceDN w:val="0"/>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w:t>
            </w:r>
          </w:p>
        </w:tc>
        <w:tc>
          <w:tcPr>
            <w:tcW w:w="1273" w:type="dxa"/>
            <w:shd w:val="clear" w:color="auto" w:fill="auto"/>
            <w:vAlign w:val="center"/>
          </w:tcPr>
          <w:p>
            <w:pPr>
              <w:widowControl/>
              <w:jc w:val="center"/>
              <w:rPr>
                <w:rFonts w:hint="eastAsia" w:ascii="Times New Roman" w:hAnsi="Times New Roman"/>
                <w:kern w:val="0"/>
                <w:sz w:val="21"/>
                <w:szCs w:val="21"/>
                <w:lang w:eastAsia="zh-CN"/>
              </w:rPr>
            </w:pPr>
            <w:r>
              <w:rPr>
                <w:rFonts w:hint="eastAsia" w:ascii="Times New Roman" w:hAnsi="Times New Roman"/>
                <w:kern w:val="0"/>
                <w:sz w:val="21"/>
                <w:szCs w:val="21"/>
                <w:lang w:eastAsia="zh-CN"/>
              </w:rPr>
              <w:t>景洪市基诺乡亚龙石场普通建筑用石灰岩年产30万吨建设项目</w:t>
            </w:r>
          </w:p>
        </w:tc>
        <w:tc>
          <w:tcPr>
            <w:tcW w:w="810" w:type="dxa"/>
            <w:shd w:val="clear" w:color="auto" w:fill="auto"/>
            <w:vAlign w:val="center"/>
          </w:tcPr>
          <w:p>
            <w:pPr>
              <w:widowControl/>
              <w:spacing w:line="240" w:lineRule="atLeast"/>
              <w:jc w:val="center"/>
              <w:rPr>
                <w:rFonts w:hint="eastAsia" w:cs="Calibri"/>
                <w:color w:val="333333"/>
                <w:kern w:val="0"/>
                <w:sz w:val="21"/>
                <w:szCs w:val="21"/>
              </w:rPr>
            </w:pPr>
            <w:r>
              <w:rPr>
                <w:rFonts w:hint="eastAsia" w:cs="Calibri"/>
                <w:color w:val="333333"/>
                <w:kern w:val="0"/>
                <w:sz w:val="21"/>
                <w:szCs w:val="21"/>
              </w:rPr>
              <w:t>景洪市基诺乡亚诺村</w:t>
            </w:r>
          </w:p>
        </w:tc>
        <w:tc>
          <w:tcPr>
            <w:tcW w:w="990" w:type="dxa"/>
            <w:shd w:val="clear" w:color="auto" w:fill="auto"/>
            <w:vAlign w:val="center"/>
          </w:tcPr>
          <w:p>
            <w:pPr>
              <w:widowControl/>
              <w:spacing w:line="240" w:lineRule="atLeast"/>
              <w:jc w:val="center"/>
              <w:rPr>
                <w:rFonts w:hint="eastAsia" w:cs="Calibri"/>
                <w:bCs/>
                <w:color w:val="333333"/>
                <w:kern w:val="0"/>
                <w:sz w:val="21"/>
                <w:szCs w:val="21"/>
              </w:rPr>
            </w:pPr>
            <w:r>
              <w:rPr>
                <w:rFonts w:hint="eastAsia" w:cs="Calibri"/>
                <w:bCs/>
                <w:color w:val="333333"/>
                <w:kern w:val="0"/>
                <w:sz w:val="21"/>
                <w:szCs w:val="21"/>
              </w:rPr>
              <w:t>景洪市基诺山亚龙石场</w:t>
            </w:r>
          </w:p>
        </w:tc>
        <w:tc>
          <w:tcPr>
            <w:tcW w:w="1365" w:type="dxa"/>
            <w:shd w:val="clear" w:color="auto" w:fill="auto"/>
            <w:vAlign w:val="center"/>
          </w:tcPr>
          <w:p>
            <w:pPr>
              <w:widowControl/>
              <w:jc w:val="both"/>
              <w:rPr>
                <w:rFonts w:hint="eastAsia" w:cs="Calibri"/>
                <w:color w:val="333333"/>
                <w:kern w:val="0"/>
                <w:sz w:val="21"/>
                <w:szCs w:val="21"/>
              </w:rPr>
            </w:pPr>
            <w:r>
              <w:rPr>
                <w:rFonts w:hint="eastAsia" w:cs="Calibri"/>
                <w:color w:val="333333"/>
                <w:kern w:val="0"/>
                <w:sz w:val="21"/>
                <w:szCs w:val="21"/>
              </w:rPr>
              <w:t>云南大学科技咨询发展中心</w:t>
            </w:r>
          </w:p>
        </w:tc>
        <w:tc>
          <w:tcPr>
            <w:tcW w:w="2318" w:type="dxa"/>
            <w:shd w:val="clear" w:color="auto" w:fill="auto"/>
            <w:vAlign w:val="top"/>
          </w:tcPr>
          <w:p>
            <w:pPr>
              <w:jc w:val="both"/>
              <w:rPr>
                <w:rFonts w:hint="eastAsia"/>
                <w:sz w:val="21"/>
                <w:szCs w:val="21"/>
              </w:rPr>
            </w:pPr>
          </w:p>
          <w:p>
            <w:pPr>
              <w:jc w:val="both"/>
              <w:rPr>
                <w:rFonts w:hint="eastAsia"/>
                <w:sz w:val="21"/>
                <w:szCs w:val="21"/>
              </w:rPr>
            </w:pPr>
          </w:p>
          <w:p>
            <w:pPr>
              <w:jc w:val="both"/>
              <w:rPr>
                <w:rFonts w:hint="eastAsia"/>
                <w:sz w:val="21"/>
                <w:szCs w:val="21"/>
              </w:rPr>
            </w:pPr>
          </w:p>
          <w:p>
            <w:pPr>
              <w:jc w:val="both"/>
              <w:rPr>
                <w:rFonts w:hint="eastAsia"/>
                <w:sz w:val="21"/>
                <w:szCs w:val="21"/>
              </w:rPr>
            </w:pPr>
          </w:p>
          <w:p>
            <w:pPr>
              <w:jc w:val="both"/>
              <w:rPr>
                <w:rFonts w:hint="eastAsia"/>
                <w:sz w:val="21"/>
                <w:szCs w:val="21"/>
              </w:rPr>
            </w:pPr>
          </w:p>
          <w:p>
            <w:pPr>
              <w:jc w:val="both"/>
              <w:rPr>
                <w:rFonts w:hint="eastAsia"/>
                <w:sz w:val="21"/>
                <w:szCs w:val="21"/>
              </w:rPr>
            </w:pPr>
          </w:p>
          <w:p>
            <w:pPr>
              <w:jc w:val="both"/>
              <w:rPr>
                <w:rFonts w:hint="eastAsia"/>
                <w:sz w:val="21"/>
                <w:szCs w:val="21"/>
              </w:rPr>
            </w:pPr>
          </w:p>
          <w:p>
            <w:pPr>
              <w:jc w:val="both"/>
              <w:rPr>
                <w:rFonts w:hint="eastAsia"/>
                <w:sz w:val="21"/>
                <w:szCs w:val="21"/>
              </w:rPr>
            </w:pPr>
          </w:p>
          <w:p>
            <w:pPr>
              <w:jc w:val="both"/>
              <w:rPr>
                <w:rFonts w:hint="eastAsia" w:ascii="Times New Roman" w:hAnsi="宋体" w:eastAsia="宋体" w:cs="Times New Roman"/>
                <w:kern w:val="0"/>
                <w:sz w:val="21"/>
                <w:szCs w:val="21"/>
                <w:lang w:eastAsia="zh-CN"/>
              </w:rPr>
            </w:pPr>
            <w:r>
              <w:rPr>
                <w:rFonts w:hint="eastAsia"/>
                <w:sz w:val="21"/>
                <w:szCs w:val="21"/>
              </w:rPr>
              <w:t>项目位于景洪市基诺乡亚诺村，</w:t>
            </w:r>
            <w:r>
              <w:rPr>
                <w:sz w:val="21"/>
                <w:szCs w:val="21"/>
              </w:rPr>
              <w:t>矿区面积</w:t>
            </w:r>
            <w:r>
              <w:rPr>
                <w:rFonts w:hint="eastAsia"/>
                <w:sz w:val="21"/>
                <w:szCs w:val="21"/>
              </w:rPr>
              <w:t>8.79hm</w:t>
            </w:r>
            <w:r>
              <w:rPr>
                <w:rFonts w:hint="eastAsia"/>
                <w:sz w:val="21"/>
                <w:szCs w:val="21"/>
                <w:vertAlign w:val="superscript"/>
              </w:rPr>
              <w:t>2</w:t>
            </w:r>
            <w:r>
              <w:rPr>
                <w:rFonts w:hint="eastAsia"/>
                <w:sz w:val="21"/>
                <w:szCs w:val="21"/>
              </w:rPr>
              <w:t>，设计开采标高：1384.00～1250.00米</w:t>
            </w:r>
            <w:r>
              <w:rPr>
                <w:sz w:val="21"/>
                <w:szCs w:val="21"/>
              </w:rPr>
              <w:t>。生产规模为</w:t>
            </w:r>
            <w:r>
              <w:rPr>
                <w:rFonts w:hint="eastAsia"/>
                <w:sz w:val="21"/>
                <w:szCs w:val="21"/>
              </w:rPr>
              <w:t>30万吨</w:t>
            </w:r>
            <w:r>
              <w:rPr>
                <w:sz w:val="21"/>
                <w:szCs w:val="21"/>
              </w:rPr>
              <w:t>/年</w:t>
            </w:r>
            <w:r>
              <w:rPr>
                <w:rFonts w:hint="eastAsia"/>
                <w:sz w:val="21"/>
                <w:szCs w:val="21"/>
              </w:rPr>
              <w:t>(11.11万m</w:t>
            </w:r>
            <w:r>
              <w:rPr>
                <w:rFonts w:hint="eastAsia"/>
                <w:sz w:val="21"/>
                <w:szCs w:val="21"/>
                <w:vertAlign w:val="superscript"/>
              </w:rPr>
              <w:t>3</w:t>
            </w:r>
            <w:r>
              <w:rPr>
                <w:rFonts w:hint="eastAsia"/>
                <w:sz w:val="21"/>
                <w:szCs w:val="21"/>
              </w:rPr>
              <w:t>/年)</w:t>
            </w:r>
            <w:r>
              <w:rPr>
                <w:sz w:val="21"/>
                <w:szCs w:val="21"/>
              </w:rPr>
              <w:t>，矿山建设规模类型为</w:t>
            </w:r>
            <w:r>
              <w:rPr>
                <w:rFonts w:hint="eastAsia"/>
                <w:sz w:val="21"/>
                <w:szCs w:val="21"/>
              </w:rPr>
              <w:t>中</w:t>
            </w:r>
            <w:r>
              <w:rPr>
                <w:sz w:val="21"/>
                <w:szCs w:val="21"/>
              </w:rPr>
              <w:t>型。</w:t>
            </w:r>
            <w:r>
              <w:rPr>
                <w:rFonts w:hint="eastAsia"/>
                <w:sz w:val="21"/>
                <w:szCs w:val="21"/>
              </w:rPr>
              <w:t>矿山</w:t>
            </w:r>
            <w:r>
              <w:rPr>
                <w:sz w:val="21"/>
                <w:szCs w:val="21"/>
              </w:rPr>
              <w:t>的</w:t>
            </w:r>
            <w:r>
              <w:rPr>
                <w:rFonts w:hint="eastAsia"/>
                <w:sz w:val="21"/>
                <w:szCs w:val="21"/>
              </w:rPr>
              <w:t>服务</w:t>
            </w:r>
            <w:r>
              <w:rPr>
                <w:sz w:val="21"/>
                <w:szCs w:val="21"/>
              </w:rPr>
              <w:t>年限为</w:t>
            </w:r>
            <w:r>
              <w:rPr>
                <w:rFonts w:hint="eastAsia"/>
                <w:sz w:val="21"/>
                <w:szCs w:val="21"/>
              </w:rPr>
              <w:t>10.39</w:t>
            </w:r>
            <w:r>
              <w:rPr>
                <w:sz w:val="21"/>
                <w:szCs w:val="21"/>
              </w:rPr>
              <w:t>年。总投资</w:t>
            </w:r>
            <w:r>
              <w:rPr>
                <w:rFonts w:hint="eastAsia"/>
                <w:sz w:val="21"/>
                <w:szCs w:val="21"/>
              </w:rPr>
              <w:t>1600万元。</w:t>
            </w:r>
          </w:p>
        </w:tc>
        <w:tc>
          <w:tcPr>
            <w:tcW w:w="7936" w:type="dxa"/>
            <w:shd w:val="clear" w:color="auto" w:fill="auto"/>
            <w:vAlign w:val="top"/>
          </w:tcPr>
          <w:p>
            <w:pPr>
              <w:jc w:val="both"/>
              <w:rPr>
                <w:rFonts w:hint="eastAsia"/>
                <w:bCs/>
                <w:sz w:val="21"/>
                <w:szCs w:val="21"/>
              </w:rPr>
            </w:pPr>
            <w:r>
              <w:rPr>
                <w:rFonts w:hint="eastAsia"/>
                <w:sz w:val="21"/>
                <w:szCs w:val="21"/>
              </w:rPr>
              <w:t>（1）施工期间产生的污染物主要有扬尘、施工废气、废水（拌合废水和生活废水）、噪声、工程废料、生活垃圾、植被破坏、水土流失等。施工噪声、扬尘废气、废水对环境的影响随施工期结束而结束。施工期建设、场地平整、临时道路修建等造成的植被破坏和水土流失需采取有效措施进行治理，控制矿山建设造成的水土流失和植被破坏。</w:t>
            </w:r>
            <w:r>
              <w:rPr>
                <w:sz w:val="21"/>
                <w:szCs w:val="21"/>
              </w:rPr>
              <w:t>（</w:t>
            </w:r>
            <w:r>
              <w:rPr>
                <w:rFonts w:hint="eastAsia"/>
                <w:sz w:val="21"/>
                <w:szCs w:val="21"/>
              </w:rPr>
              <w:t>2</w:t>
            </w:r>
            <w:r>
              <w:rPr>
                <w:sz w:val="21"/>
                <w:szCs w:val="21"/>
              </w:rPr>
              <w:t>）环境空气影响评价</w:t>
            </w:r>
            <w:r>
              <w:rPr>
                <w:rFonts w:hint="eastAsia"/>
                <w:sz w:val="21"/>
                <w:szCs w:val="21"/>
                <w:lang w:eastAsia="zh-CN"/>
              </w:rPr>
              <w:t>。</w:t>
            </w:r>
            <w:r>
              <w:rPr>
                <w:sz w:val="21"/>
                <w:szCs w:val="21"/>
              </w:rPr>
              <w:t>粉尘无组织排放点主要来自</w:t>
            </w:r>
            <w:r>
              <w:rPr>
                <w:bCs/>
                <w:sz w:val="21"/>
                <w:szCs w:val="21"/>
              </w:rPr>
              <w:t>爆破作业、矿石开采、输送以及废弃土石的装运、堆置等环节。</w:t>
            </w:r>
            <w:r>
              <w:rPr>
                <w:rFonts w:hint="eastAsia"/>
                <w:bCs/>
                <w:sz w:val="21"/>
                <w:szCs w:val="21"/>
              </w:rPr>
              <w:t>由于项目运行期产生的粉尘、爆破废气、机械尾气、食堂油烟等经采取相应措施处理后，排放量较小，</w:t>
            </w:r>
            <w:r>
              <w:rPr>
                <w:rFonts w:hint="eastAsia"/>
                <w:sz w:val="21"/>
                <w:szCs w:val="21"/>
              </w:rPr>
              <w:t>经自然沉降和扩散稀释后，</w:t>
            </w:r>
            <w:r>
              <w:rPr>
                <w:sz w:val="21"/>
                <w:szCs w:val="21"/>
              </w:rPr>
              <w:t>对</w:t>
            </w:r>
            <w:r>
              <w:rPr>
                <w:rFonts w:hint="eastAsia"/>
                <w:sz w:val="21"/>
                <w:szCs w:val="21"/>
              </w:rPr>
              <w:t>周围</w:t>
            </w:r>
            <w:r>
              <w:rPr>
                <w:sz w:val="21"/>
                <w:szCs w:val="21"/>
              </w:rPr>
              <w:t>环境影响不大。</w:t>
            </w:r>
            <w:r>
              <w:rPr>
                <w:rFonts w:hint="eastAsia"/>
                <w:bCs/>
                <w:sz w:val="21"/>
                <w:szCs w:val="21"/>
              </w:rPr>
              <w:t>项目区的大气环境敏感目标是</w:t>
            </w:r>
            <w:r>
              <w:rPr>
                <w:rFonts w:hint="eastAsia"/>
                <w:sz w:val="21"/>
                <w:szCs w:val="21"/>
              </w:rPr>
              <w:t>项目区南面约1.1km处的亚诺村、项目区北面约1.0km处的普希村，</w:t>
            </w:r>
            <w:r>
              <w:rPr>
                <w:rFonts w:hint="eastAsia"/>
                <w:bCs/>
                <w:sz w:val="21"/>
                <w:szCs w:val="21"/>
              </w:rPr>
              <w:t>距离项目区较远，项目运行期产生的粉尘、机械尾气、食堂油烟等对敏感目标基本无影响。</w:t>
            </w:r>
            <w:r>
              <w:rPr>
                <w:sz w:val="21"/>
                <w:szCs w:val="21"/>
              </w:rPr>
              <w:t>（</w:t>
            </w:r>
            <w:r>
              <w:rPr>
                <w:rFonts w:hint="eastAsia"/>
                <w:sz w:val="21"/>
                <w:szCs w:val="21"/>
              </w:rPr>
              <w:t>3</w:t>
            </w:r>
            <w:r>
              <w:rPr>
                <w:sz w:val="21"/>
                <w:szCs w:val="21"/>
              </w:rPr>
              <w:t>）水环境的影响评价</w:t>
            </w:r>
            <w:r>
              <w:rPr>
                <w:rFonts w:hint="eastAsia"/>
                <w:sz w:val="21"/>
                <w:szCs w:val="21"/>
                <w:lang w:eastAsia="zh-CN"/>
              </w:rPr>
              <w:t>。</w:t>
            </w:r>
            <w:r>
              <w:rPr>
                <w:bCs/>
                <w:sz w:val="21"/>
                <w:szCs w:val="21"/>
              </w:rPr>
              <w:t>项目</w:t>
            </w:r>
            <w:r>
              <w:rPr>
                <w:rFonts w:hint="eastAsia"/>
                <w:bCs/>
                <w:sz w:val="21"/>
                <w:szCs w:val="21"/>
              </w:rPr>
              <w:t>污水来源</w:t>
            </w:r>
            <w:r>
              <w:rPr>
                <w:bCs/>
                <w:sz w:val="21"/>
                <w:szCs w:val="21"/>
              </w:rPr>
              <w:t>主要为</w:t>
            </w:r>
            <w:r>
              <w:rPr>
                <w:rFonts w:hint="eastAsia"/>
                <w:bCs/>
                <w:sz w:val="21"/>
                <w:szCs w:val="21"/>
              </w:rPr>
              <w:t>生产</w:t>
            </w:r>
            <w:r>
              <w:rPr>
                <w:bCs/>
                <w:sz w:val="21"/>
                <w:szCs w:val="21"/>
              </w:rPr>
              <w:t>人员生活用水。</w:t>
            </w:r>
            <w:r>
              <w:rPr>
                <w:sz w:val="21"/>
                <w:szCs w:val="21"/>
              </w:rPr>
              <w:t>该项目人员生活污水产生量约为</w:t>
            </w:r>
            <w:r>
              <w:rPr>
                <w:rFonts w:hint="eastAsia"/>
                <w:sz w:val="21"/>
                <w:szCs w:val="21"/>
              </w:rPr>
              <w:t>1.2</w:t>
            </w:r>
            <w:r>
              <w:rPr>
                <w:bCs/>
                <w:sz w:val="21"/>
                <w:szCs w:val="21"/>
              </w:rPr>
              <w:t>m</w:t>
            </w:r>
            <w:r>
              <w:rPr>
                <w:bCs/>
                <w:sz w:val="21"/>
                <w:szCs w:val="21"/>
                <w:vertAlign w:val="superscript"/>
              </w:rPr>
              <w:t>3</w:t>
            </w:r>
            <w:r>
              <w:rPr>
                <w:sz w:val="21"/>
                <w:szCs w:val="21"/>
              </w:rPr>
              <w:t>/d，</w:t>
            </w:r>
            <w:r>
              <w:rPr>
                <w:rFonts w:hint="eastAsia"/>
                <w:sz w:val="21"/>
                <w:szCs w:val="21"/>
              </w:rPr>
              <w:t>360</w:t>
            </w:r>
            <w:r>
              <w:rPr>
                <w:bCs/>
                <w:sz w:val="21"/>
                <w:szCs w:val="21"/>
              </w:rPr>
              <w:t>m</w:t>
            </w:r>
            <w:r>
              <w:rPr>
                <w:bCs/>
                <w:sz w:val="21"/>
                <w:szCs w:val="21"/>
                <w:vertAlign w:val="superscript"/>
              </w:rPr>
              <w:t>3</w:t>
            </w:r>
            <w:r>
              <w:rPr>
                <w:sz w:val="21"/>
                <w:szCs w:val="21"/>
              </w:rPr>
              <w:t>/a。</w:t>
            </w:r>
            <w:r>
              <w:rPr>
                <w:rFonts w:hint="eastAsia"/>
                <w:sz w:val="21"/>
                <w:szCs w:val="21"/>
              </w:rPr>
              <w:t>本评价要求</w:t>
            </w:r>
            <w:r>
              <w:rPr>
                <w:sz w:val="21"/>
                <w:szCs w:val="21"/>
              </w:rPr>
              <w:t>生活污水经化粪池处理后，用于</w:t>
            </w:r>
            <w:r>
              <w:rPr>
                <w:rFonts w:hint="eastAsia"/>
                <w:sz w:val="21"/>
                <w:szCs w:val="21"/>
              </w:rPr>
              <w:t>周边林地绿化施肥。</w:t>
            </w:r>
            <w:r>
              <w:rPr>
                <w:sz w:val="21"/>
                <w:szCs w:val="21"/>
              </w:rPr>
              <w:t>生活污水不会对周边水环境产生明显影响。</w:t>
            </w:r>
            <w:r>
              <w:rPr>
                <w:rFonts w:hint="eastAsia"/>
                <w:sz w:val="21"/>
                <w:szCs w:val="21"/>
              </w:rPr>
              <w:t>生产废水经沉淀后循环使用，不外排。</w:t>
            </w:r>
            <w:r>
              <w:rPr>
                <w:sz w:val="21"/>
                <w:szCs w:val="21"/>
              </w:rPr>
              <w:t>（</w:t>
            </w:r>
            <w:r>
              <w:rPr>
                <w:rFonts w:hint="eastAsia"/>
                <w:sz w:val="21"/>
                <w:szCs w:val="21"/>
              </w:rPr>
              <w:t>4</w:t>
            </w:r>
            <w:r>
              <w:rPr>
                <w:sz w:val="21"/>
                <w:szCs w:val="21"/>
              </w:rPr>
              <w:t>）噪声环境影响评价</w:t>
            </w:r>
            <w:r>
              <w:rPr>
                <w:rFonts w:hint="eastAsia"/>
                <w:sz w:val="21"/>
                <w:szCs w:val="21"/>
                <w:lang w:eastAsia="zh-CN"/>
              </w:rPr>
              <w:t>。</w:t>
            </w:r>
            <w:r>
              <w:rPr>
                <w:rFonts w:hint="eastAsia"/>
                <w:bCs/>
                <w:sz w:val="21"/>
                <w:szCs w:val="21"/>
              </w:rPr>
              <w:t>项目噪声来源有石料交通运输噪声、生产机械设备噪声等，声环境敏感目标是</w:t>
            </w:r>
            <w:r>
              <w:rPr>
                <w:rFonts w:hint="eastAsia"/>
                <w:sz w:val="21"/>
                <w:szCs w:val="21"/>
              </w:rPr>
              <w:t>项目区南面约1.1km处的亚诺村、项目区北面约1.0km处的普希村</w:t>
            </w:r>
            <w:r>
              <w:rPr>
                <w:rFonts w:hint="eastAsia"/>
                <w:bCs/>
                <w:sz w:val="21"/>
                <w:szCs w:val="21"/>
              </w:rPr>
              <w:t>，项目运行期噪声经衰减后，对</w:t>
            </w:r>
            <w:r>
              <w:rPr>
                <w:rFonts w:hint="eastAsia"/>
                <w:sz w:val="21"/>
                <w:szCs w:val="21"/>
              </w:rPr>
              <w:t>亚诺村、普希村</w:t>
            </w:r>
            <w:r>
              <w:rPr>
                <w:rFonts w:hint="eastAsia"/>
                <w:bCs/>
                <w:sz w:val="21"/>
                <w:szCs w:val="21"/>
              </w:rPr>
              <w:t>居民基本无影响。项目噪声主要影响项目区周边环境，但影响不大。</w:t>
            </w:r>
          </w:p>
          <w:p>
            <w:pPr>
              <w:jc w:val="both"/>
              <w:rPr>
                <w:rFonts w:hint="eastAsia"/>
                <w:sz w:val="21"/>
                <w:szCs w:val="21"/>
              </w:rPr>
            </w:pPr>
            <w:r>
              <w:rPr>
                <w:sz w:val="21"/>
                <w:szCs w:val="21"/>
              </w:rPr>
              <w:t>（</w:t>
            </w:r>
            <w:r>
              <w:rPr>
                <w:rFonts w:hint="eastAsia"/>
                <w:sz w:val="21"/>
                <w:szCs w:val="21"/>
              </w:rPr>
              <w:t>5</w:t>
            </w:r>
            <w:r>
              <w:rPr>
                <w:sz w:val="21"/>
                <w:szCs w:val="21"/>
              </w:rPr>
              <w:t>）固体废</w:t>
            </w:r>
            <w:r>
              <w:rPr>
                <w:rFonts w:hint="eastAsia"/>
                <w:sz w:val="21"/>
                <w:szCs w:val="21"/>
              </w:rPr>
              <w:t>弃</w:t>
            </w:r>
            <w:r>
              <w:rPr>
                <w:sz w:val="21"/>
                <w:szCs w:val="21"/>
              </w:rPr>
              <w:t>物环境影响评价</w:t>
            </w:r>
            <w:r>
              <w:rPr>
                <w:rFonts w:hint="eastAsia"/>
                <w:sz w:val="21"/>
                <w:szCs w:val="21"/>
                <w:lang w:eastAsia="zh-CN"/>
              </w:rPr>
              <w:t>。</w:t>
            </w:r>
            <w:r>
              <w:rPr>
                <w:rFonts w:hint="eastAsia"/>
                <w:sz w:val="21"/>
                <w:szCs w:val="21"/>
              </w:rPr>
              <w:t>本项目开采年限内产生废石0.9万m</w:t>
            </w:r>
            <w:r>
              <w:rPr>
                <w:rFonts w:hint="eastAsia"/>
                <w:sz w:val="21"/>
                <w:szCs w:val="21"/>
                <w:vertAlign w:val="superscript"/>
              </w:rPr>
              <w:t>3</w:t>
            </w:r>
            <w:r>
              <w:rPr>
                <w:rFonts w:hint="eastAsia"/>
                <w:sz w:val="21"/>
                <w:szCs w:val="21"/>
              </w:rPr>
              <w:t>，</w:t>
            </w:r>
            <w:r>
              <w:rPr>
                <w:rFonts w:hint="eastAsia"/>
                <w:bCs/>
                <w:sz w:val="21"/>
                <w:szCs w:val="21"/>
                <w:lang w:bidi="en-US"/>
              </w:rPr>
              <w:t>集堆后用于铺路或外售用于场地平整</w:t>
            </w:r>
            <w:r>
              <w:rPr>
                <w:rFonts w:hint="eastAsia"/>
                <w:sz w:val="21"/>
                <w:szCs w:val="21"/>
              </w:rPr>
              <w:t>；表土剥离2.45万m</w:t>
            </w:r>
            <w:r>
              <w:rPr>
                <w:rFonts w:hint="eastAsia"/>
                <w:sz w:val="21"/>
                <w:szCs w:val="21"/>
                <w:vertAlign w:val="superscript"/>
              </w:rPr>
              <w:t>3</w:t>
            </w:r>
            <w:r>
              <w:rPr>
                <w:rFonts w:hint="eastAsia"/>
                <w:sz w:val="21"/>
                <w:szCs w:val="21"/>
              </w:rPr>
              <w:t>，暂存于临时表土场内，后期用于覆土绿化。积极落实本评价提出的有关措施后，弃渣可得到合理处置，对环境影响不大。生活垃圾15kg/d，4.5t/a，</w:t>
            </w:r>
            <w:r>
              <w:rPr>
                <w:bCs/>
                <w:sz w:val="21"/>
                <w:szCs w:val="21"/>
              </w:rPr>
              <w:t>该项目的固体废弃物均采取了较为合理的处理措施，处置率为100%。因此，本项目固体废弃物对外环境影响</w:t>
            </w:r>
            <w:r>
              <w:rPr>
                <w:rFonts w:hint="eastAsia"/>
                <w:bCs/>
                <w:sz w:val="21"/>
                <w:szCs w:val="21"/>
              </w:rPr>
              <w:t>较小</w:t>
            </w:r>
            <w:r>
              <w:rPr>
                <w:bCs/>
                <w:sz w:val="21"/>
                <w:szCs w:val="21"/>
              </w:rPr>
              <w:t>。</w:t>
            </w:r>
            <w:r>
              <w:rPr>
                <w:rFonts w:hint="eastAsia"/>
                <w:bCs/>
                <w:sz w:val="21"/>
                <w:szCs w:val="21"/>
              </w:rPr>
              <w:t>（6）生态环境影响分析</w:t>
            </w:r>
            <w:r>
              <w:rPr>
                <w:rFonts w:hint="eastAsia"/>
                <w:bCs/>
                <w:sz w:val="21"/>
                <w:szCs w:val="21"/>
                <w:lang w:eastAsia="zh-CN"/>
              </w:rPr>
              <w:t>。</w:t>
            </w:r>
            <w:r>
              <w:rPr>
                <w:rFonts w:hint="eastAsia"/>
                <w:sz w:val="21"/>
                <w:szCs w:val="21"/>
              </w:rPr>
              <w:t>采矿过程中对生态环境的影响和破坏较大，通过落实本项目环评中相关生态环境保护的措施和项目水土保持方案提出的措施后，项目对生态环境的影响可以降到最低程度。另外，矿区生产运行产生的粉尘会降落在附近的植物、茶园和农作物叶面，影响茶园和农作物的光合作用，从而影响其产量和品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2945" w:hRule="atLeast"/>
          <w:jc w:val="center"/>
        </w:trPr>
        <w:tc>
          <w:tcPr>
            <w:tcW w:w="596" w:type="dxa"/>
            <w:shd w:val="clear" w:color="auto" w:fill="auto"/>
            <w:vAlign w:val="center"/>
          </w:tcPr>
          <w:p>
            <w:pPr>
              <w:autoSpaceDN w:val="0"/>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3</w:t>
            </w:r>
          </w:p>
        </w:tc>
        <w:tc>
          <w:tcPr>
            <w:tcW w:w="1273" w:type="dxa"/>
            <w:shd w:val="clear" w:color="auto" w:fill="auto"/>
            <w:vAlign w:val="center"/>
          </w:tcPr>
          <w:p>
            <w:pPr>
              <w:widowControl/>
              <w:jc w:val="center"/>
              <w:rPr>
                <w:rFonts w:hint="eastAsia" w:ascii="Times New Roman" w:hAnsi="Times New Roman"/>
                <w:kern w:val="0"/>
                <w:sz w:val="21"/>
                <w:szCs w:val="21"/>
                <w:lang w:eastAsia="zh-CN"/>
              </w:rPr>
            </w:pPr>
            <w:r>
              <w:rPr>
                <w:rFonts w:hint="eastAsia" w:ascii="Times New Roman" w:hAnsi="Times New Roman"/>
                <w:kern w:val="0"/>
                <w:sz w:val="21"/>
                <w:szCs w:val="21"/>
                <w:lang w:eastAsia="zh-CN"/>
              </w:rPr>
              <w:t>景洪市基诺乡大黑山石场普通建筑用石灰岩年产10万吨建设项目</w:t>
            </w:r>
          </w:p>
        </w:tc>
        <w:tc>
          <w:tcPr>
            <w:tcW w:w="810" w:type="dxa"/>
            <w:shd w:val="clear" w:color="auto" w:fill="auto"/>
            <w:vAlign w:val="center"/>
          </w:tcPr>
          <w:p>
            <w:pPr>
              <w:widowControl/>
              <w:spacing w:line="240" w:lineRule="atLeast"/>
              <w:jc w:val="center"/>
              <w:rPr>
                <w:rFonts w:hint="eastAsia" w:cs="Calibri"/>
                <w:color w:val="333333"/>
                <w:kern w:val="0"/>
                <w:sz w:val="21"/>
                <w:szCs w:val="21"/>
              </w:rPr>
            </w:pPr>
            <w:r>
              <w:rPr>
                <w:rFonts w:hint="eastAsia" w:cs="Calibri"/>
                <w:color w:val="333333"/>
                <w:kern w:val="0"/>
                <w:sz w:val="21"/>
                <w:szCs w:val="21"/>
              </w:rPr>
              <w:t>景洪市基诺乡亚诺村</w:t>
            </w:r>
          </w:p>
        </w:tc>
        <w:tc>
          <w:tcPr>
            <w:tcW w:w="990" w:type="dxa"/>
            <w:shd w:val="clear" w:color="auto" w:fill="auto"/>
            <w:vAlign w:val="center"/>
          </w:tcPr>
          <w:p>
            <w:pPr>
              <w:widowControl/>
              <w:spacing w:line="240" w:lineRule="atLeast"/>
              <w:jc w:val="center"/>
              <w:rPr>
                <w:rFonts w:hint="eastAsia" w:cs="Calibri"/>
                <w:bCs/>
                <w:color w:val="333333"/>
                <w:kern w:val="0"/>
                <w:sz w:val="21"/>
                <w:szCs w:val="21"/>
              </w:rPr>
            </w:pPr>
            <w:r>
              <w:rPr>
                <w:rFonts w:hint="eastAsia" w:cs="Calibri"/>
                <w:bCs/>
                <w:color w:val="333333"/>
                <w:kern w:val="0"/>
                <w:sz w:val="21"/>
                <w:szCs w:val="21"/>
              </w:rPr>
              <w:t>景洪基诺大黑山石场</w:t>
            </w:r>
          </w:p>
        </w:tc>
        <w:tc>
          <w:tcPr>
            <w:tcW w:w="1365" w:type="dxa"/>
            <w:shd w:val="clear" w:color="auto" w:fill="auto"/>
            <w:vAlign w:val="center"/>
          </w:tcPr>
          <w:p>
            <w:pPr>
              <w:widowControl/>
              <w:jc w:val="center"/>
              <w:rPr>
                <w:rFonts w:hint="eastAsia" w:cs="Calibri"/>
                <w:color w:val="333333"/>
                <w:kern w:val="0"/>
                <w:sz w:val="21"/>
                <w:szCs w:val="21"/>
              </w:rPr>
            </w:pPr>
            <w:r>
              <w:rPr>
                <w:rFonts w:hint="eastAsia" w:cs="Calibri"/>
                <w:color w:val="333333"/>
                <w:kern w:val="0"/>
                <w:sz w:val="21"/>
                <w:szCs w:val="21"/>
              </w:rPr>
              <w:t>云南大学科技咨询发展中心</w:t>
            </w:r>
          </w:p>
        </w:tc>
        <w:tc>
          <w:tcPr>
            <w:tcW w:w="2318" w:type="dxa"/>
            <w:shd w:val="clear" w:color="auto" w:fill="auto"/>
            <w:vAlign w:val="center"/>
          </w:tcPr>
          <w:p>
            <w:pPr>
              <w:jc w:val="center"/>
              <w:rPr>
                <w:rFonts w:hint="eastAsia" w:ascii="Times New Roman" w:hAnsi="宋体" w:eastAsia="宋体" w:cs="Times New Roman"/>
                <w:kern w:val="0"/>
                <w:sz w:val="21"/>
                <w:szCs w:val="21"/>
                <w:lang w:eastAsia="zh-CN"/>
              </w:rPr>
            </w:pPr>
            <w:r>
              <w:rPr>
                <w:rFonts w:hint="eastAsia"/>
                <w:sz w:val="21"/>
                <w:szCs w:val="21"/>
              </w:rPr>
              <w:t>项目位于景洪市基诺乡亚诺村，</w:t>
            </w:r>
            <w:r>
              <w:rPr>
                <w:sz w:val="21"/>
                <w:szCs w:val="21"/>
              </w:rPr>
              <w:t>矿区面积</w:t>
            </w:r>
            <w:r>
              <w:rPr>
                <w:rFonts w:hint="eastAsia"/>
                <w:sz w:val="21"/>
                <w:szCs w:val="21"/>
              </w:rPr>
              <w:t>1.54hm</w:t>
            </w:r>
            <w:r>
              <w:rPr>
                <w:rFonts w:hint="eastAsia"/>
                <w:sz w:val="21"/>
                <w:szCs w:val="21"/>
                <w:vertAlign w:val="superscript"/>
              </w:rPr>
              <w:t>2</w:t>
            </w:r>
            <w:r>
              <w:rPr>
                <w:rFonts w:hint="eastAsia"/>
                <w:sz w:val="21"/>
                <w:szCs w:val="21"/>
              </w:rPr>
              <w:t>，设计开采标高：1286.00～1240.00米</w:t>
            </w:r>
            <w:r>
              <w:rPr>
                <w:sz w:val="21"/>
                <w:szCs w:val="21"/>
              </w:rPr>
              <w:t>。生产规模为</w:t>
            </w:r>
            <w:r>
              <w:rPr>
                <w:rFonts w:hint="eastAsia"/>
                <w:sz w:val="21"/>
                <w:szCs w:val="21"/>
              </w:rPr>
              <w:t>10万吨</w:t>
            </w:r>
            <w:r>
              <w:rPr>
                <w:sz w:val="21"/>
                <w:szCs w:val="21"/>
              </w:rPr>
              <w:t>/年</w:t>
            </w:r>
            <w:r>
              <w:rPr>
                <w:rFonts w:hint="eastAsia"/>
                <w:sz w:val="21"/>
                <w:szCs w:val="21"/>
              </w:rPr>
              <w:t>(3.7万m</w:t>
            </w:r>
            <w:r>
              <w:rPr>
                <w:rFonts w:hint="eastAsia"/>
                <w:sz w:val="21"/>
                <w:szCs w:val="21"/>
                <w:vertAlign w:val="superscript"/>
              </w:rPr>
              <w:t>3</w:t>
            </w:r>
            <w:r>
              <w:rPr>
                <w:rFonts w:hint="eastAsia"/>
                <w:sz w:val="21"/>
                <w:szCs w:val="21"/>
              </w:rPr>
              <w:t>/年)</w:t>
            </w:r>
            <w:r>
              <w:rPr>
                <w:sz w:val="21"/>
                <w:szCs w:val="21"/>
              </w:rPr>
              <w:t>，矿山建设规模类型为</w:t>
            </w:r>
            <w:r>
              <w:rPr>
                <w:rFonts w:hint="eastAsia"/>
                <w:sz w:val="21"/>
                <w:szCs w:val="21"/>
              </w:rPr>
              <w:t>中</w:t>
            </w:r>
            <w:r>
              <w:rPr>
                <w:sz w:val="21"/>
                <w:szCs w:val="21"/>
              </w:rPr>
              <w:t>型。</w:t>
            </w:r>
            <w:r>
              <w:rPr>
                <w:rFonts w:hint="eastAsia"/>
                <w:sz w:val="21"/>
                <w:szCs w:val="21"/>
              </w:rPr>
              <w:t>矿山</w:t>
            </w:r>
            <w:r>
              <w:rPr>
                <w:sz w:val="21"/>
                <w:szCs w:val="21"/>
              </w:rPr>
              <w:t>的</w:t>
            </w:r>
            <w:r>
              <w:rPr>
                <w:rFonts w:hint="eastAsia"/>
                <w:sz w:val="21"/>
                <w:szCs w:val="21"/>
              </w:rPr>
              <w:t>服务</w:t>
            </w:r>
            <w:r>
              <w:rPr>
                <w:sz w:val="21"/>
                <w:szCs w:val="21"/>
              </w:rPr>
              <w:t>年限为</w:t>
            </w:r>
            <w:r>
              <w:rPr>
                <w:rFonts w:hint="eastAsia"/>
                <w:sz w:val="21"/>
                <w:szCs w:val="21"/>
              </w:rPr>
              <w:t>6.5</w:t>
            </w:r>
            <w:r>
              <w:rPr>
                <w:sz w:val="21"/>
                <w:szCs w:val="21"/>
              </w:rPr>
              <w:t>年。总投资</w:t>
            </w:r>
            <w:r>
              <w:rPr>
                <w:rFonts w:hint="eastAsia"/>
                <w:sz w:val="21"/>
                <w:szCs w:val="21"/>
              </w:rPr>
              <w:t>1400万元。</w:t>
            </w:r>
          </w:p>
        </w:tc>
        <w:tc>
          <w:tcPr>
            <w:tcW w:w="7936" w:type="dxa"/>
            <w:shd w:val="clear" w:color="auto" w:fill="auto"/>
            <w:vAlign w:val="center"/>
          </w:tcPr>
          <w:p>
            <w:pPr>
              <w:jc w:val="both"/>
              <w:rPr>
                <w:rFonts w:hint="eastAsia"/>
                <w:sz w:val="21"/>
                <w:szCs w:val="21"/>
              </w:rPr>
            </w:pPr>
            <w:r>
              <w:rPr>
                <w:rFonts w:hint="eastAsia"/>
                <w:sz w:val="21"/>
                <w:szCs w:val="21"/>
              </w:rPr>
              <w:t>（1）施工期间产生的污染物主要有扬尘、施工废气、废水（拌合废水和生活废水）、噪声、工程废料、生活垃圾、植被破坏、水土流失等。施工噪声、扬尘废气、废水对环境的影响随施工期结束而结束。施工期建设、场地平整、临时道路修建等造成的植被破坏和水土流失需采取有效措施进行治理，控制矿山建设造成的水土流失和植被破坏。</w:t>
            </w:r>
          </w:p>
          <w:p>
            <w:pPr>
              <w:jc w:val="both"/>
              <w:rPr>
                <w:rFonts w:hint="eastAsia"/>
                <w:sz w:val="21"/>
                <w:szCs w:val="21"/>
              </w:rPr>
            </w:pPr>
            <w:r>
              <w:rPr>
                <w:sz w:val="21"/>
                <w:szCs w:val="21"/>
              </w:rPr>
              <w:t>（</w:t>
            </w:r>
            <w:r>
              <w:rPr>
                <w:rFonts w:hint="eastAsia"/>
                <w:sz w:val="21"/>
                <w:szCs w:val="21"/>
              </w:rPr>
              <w:t>2</w:t>
            </w:r>
            <w:r>
              <w:rPr>
                <w:sz w:val="21"/>
                <w:szCs w:val="21"/>
              </w:rPr>
              <w:t>）环境空气影响评价粉尘无组织排放点主要来自爆破作业、矿石开采、输送以及废弃土石的装运、堆置等环节。</w:t>
            </w:r>
            <w:r>
              <w:rPr>
                <w:rFonts w:hint="eastAsia"/>
                <w:sz w:val="21"/>
                <w:szCs w:val="21"/>
              </w:rPr>
              <w:t>由于项目运行期产生的粉尘、爆破废气、机械尾气、食堂油烟等经采取相应措施处理后，排放量较小，经自然沉降和扩散稀释后，</w:t>
            </w:r>
            <w:r>
              <w:rPr>
                <w:sz w:val="21"/>
                <w:szCs w:val="21"/>
              </w:rPr>
              <w:t>对</w:t>
            </w:r>
            <w:r>
              <w:rPr>
                <w:rFonts w:hint="eastAsia"/>
                <w:sz w:val="21"/>
                <w:szCs w:val="21"/>
              </w:rPr>
              <w:t>周围</w:t>
            </w:r>
            <w:r>
              <w:rPr>
                <w:sz w:val="21"/>
                <w:szCs w:val="21"/>
              </w:rPr>
              <w:t>环境影响不大。</w:t>
            </w:r>
            <w:r>
              <w:rPr>
                <w:rFonts w:hint="eastAsia"/>
                <w:sz w:val="21"/>
                <w:szCs w:val="21"/>
              </w:rPr>
              <w:t>项目区的大气环境敏感目标是项目区南面约0.95km处的亚诺村、项目区北面约1.25km处的普希村，距离项目区较远，项目运行期产生的粉尘、机械尾气、食堂油烟等对敏感目标基本无影响。</w:t>
            </w:r>
            <w:r>
              <w:rPr>
                <w:sz w:val="21"/>
                <w:szCs w:val="21"/>
              </w:rPr>
              <w:t>（</w:t>
            </w:r>
            <w:r>
              <w:rPr>
                <w:rFonts w:hint="eastAsia"/>
                <w:sz w:val="21"/>
                <w:szCs w:val="21"/>
              </w:rPr>
              <w:t>3</w:t>
            </w:r>
            <w:r>
              <w:rPr>
                <w:sz w:val="21"/>
                <w:szCs w:val="21"/>
              </w:rPr>
              <w:t>）水环境的影响评价</w:t>
            </w:r>
            <w:r>
              <w:rPr>
                <w:rFonts w:hint="eastAsia"/>
                <w:sz w:val="21"/>
                <w:szCs w:val="21"/>
                <w:lang w:eastAsia="zh-CN"/>
              </w:rPr>
              <w:t>。</w:t>
            </w:r>
            <w:r>
              <w:rPr>
                <w:sz w:val="21"/>
                <w:szCs w:val="21"/>
              </w:rPr>
              <w:t>项目</w:t>
            </w:r>
            <w:r>
              <w:rPr>
                <w:rFonts w:hint="eastAsia"/>
                <w:sz w:val="21"/>
                <w:szCs w:val="21"/>
              </w:rPr>
              <w:t>污水来源</w:t>
            </w:r>
            <w:r>
              <w:rPr>
                <w:sz w:val="21"/>
                <w:szCs w:val="21"/>
              </w:rPr>
              <w:t>主要为</w:t>
            </w:r>
            <w:r>
              <w:rPr>
                <w:rFonts w:hint="eastAsia"/>
                <w:sz w:val="21"/>
                <w:szCs w:val="21"/>
              </w:rPr>
              <w:t>生产</w:t>
            </w:r>
            <w:r>
              <w:rPr>
                <w:sz w:val="21"/>
                <w:szCs w:val="21"/>
              </w:rPr>
              <w:t>人员生活用水。该项目人员生活污水产生量约为</w:t>
            </w:r>
            <w:r>
              <w:rPr>
                <w:rFonts w:hint="eastAsia"/>
                <w:sz w:val="21"/>
                <w:szCs w:val="21"/>
              </w:rPr>
              <w:t>1.2</w:t>
            </w:r>
            <w:r>
              <w:rPr>
                <w:sz w:val="21"/>
                <w:szCs w:val="21"/>
              </w:rPr>
              <w:t>m</w:t>
            </w:r>
            <w:r>
              <w:rPr>
                <w:sz w:val="21"/>
                <w:szCs w:val="21"/>
                <w:vertAlign w:val="superscript"/>
              </w:rPr>
              <w:t>3</w:t>
            </w:r>
            <w:r>
              <w:rPr>
                <w:sz w:val="21"/>
                <w:szCs w:val="21"/>
              </w:rPr>
              <w:t>/d，</w:t>
            </w:r>
            <w:r>
              <w:rPr>
                <w:rFonts w:hint="eastAsia"/>
                <w:sz w:val="21"/>
                <w:szCs w:val="21"/>
              </w:rPr>
              <w:t>360</w:t>
            </w:r>
            <w:r>
              <w:rPr>
                <w:sz w:val="21"/>
                <w:szCs w:val="21"/>
              </w:rPr>
              <w:t>m</w:t>
            </w:r>
            <w:r>
              <w:rPr>
                <w:sz w:val="21"/>
                <w:szCs w:val="21"/>
                <w:vertAlign w:val="superscript"/>
              </w:rPr>
              <w:t>3</w:t>
            </w:r>
            <w:r>
              <w:rPr>
                <w:sz w:val="21"/>
                <w:szCs w:val="21"/>
              </w:rPr>
              <w:t>/a。</w:t>
            </w:r>
            <w:r>
              <w:rPr>
                <w:rFonts w:hint="eastAsia"/>
                <w:sz w:val="21"/>
                <w:szCs w:val="21"/>
              </w:rPr>
              <w:t>本评价要求</w:t>
            </w:r>
            <w:r>
              <w:rPr>
                <w:sz w:val="21"/>
                <w:szCs w:val="21"/>
              </w:rPr>
              <w:t>生活污水经化粪池处理后，用于</w:t>
            </w:r>
            <w:r>
              <w:rPr>
                <w:rFonts w:hint="eastAsia"/>
                <w:sz w:val="21"/>
                <w:szCs w:val="21"/>
              </w:rPr>
              <w:t>周边林地绿化施肥。</w:t>
            </w:r>
            <w:r>
              <w:rPr>
                <w:sz w:val="21"/>
                <w:szCs w:val="21"/>
              </w:rPr>
              <w:t>生活污水不会对周边水环境产生明显影响。</w:t>
            </w:r>
          </w:p>
          <w:p>
            <w:pPr>
              <w:jc w:val="both"/>
              <w:rPr>
                <w:rFonts w:hint="eastAsia"/>
                <w:sz w:val="21"/>
                <w:szCs w:val="21"/>
              </w:rPr>
            </w:pPr>
            <w:r>
              <w:rPr>
                <w:rFonts w:hint="eastAsia"/>
                <w:sz w:val="21"/>
                <w:szCs w:val="21"/>
              </w:rPr>
              <w:t>生产废水经沉淀后循环使用，不外排。</w:t>
            </w:r>
            <w:r>
              <w:rPr>
                <w:sz w:val="21"/>
                <w:szCs w:val="21"/>
              </w:rPr>
              <w:t>（</w:t>
            </w:r>
            <w:r>
              <w:rPr>
                <w:rFonts w:hint="eastAsia"/>
                <w:sz w:val="21"/>
                <w:szCs w:val="21"/>
              </w:rPr>
              <w:t>4</w:t>
            </w:r>
            <w:r>
              <w:rPr>
                <w:sz w:val="21"/>
                <w:szCs w:val="21"/>
              </w:rPr>
              <w:t>）噪声环境影响评价</w:t>
            </w:r>
            <w:r>
              <w:rPr>
                <w:rFonts w:hint="eastAsia"/>
                <w:sz w:val="21"/>
                <w:szCs w:val="21"/>
                <w:lang w:eastAsia="zh-CN"/>
              </w:rPr>
              <w:t>。</w:t>
            </w:r>
            <w:r>
              <w:rPr>
                <w:rFonts w:hint="eastAsia"/>
                <w:sz w:val="21"/>
                <w:szCs w:val="21"/>
              </w:rPr>
              <w:t>项目噪声来源有石料交通运输噪声、生产机械设备噪声等，声环境敏感目标是项目区南面约0.95km处的亚诺村、项目区北面约1.25km处的普希村，项目运行期噪声经衰减后，对亚诺村、普希村居民基本无影响。项目噪声主要影响项目区周边环境，但影响不大。</w:t>
            </w:r>
            <w:r>
              <w:rPr>
                <w:sz w:val="21"/>
                <w:szCs w:val="21"/>
              </w:rPr>
              <w:t>（</w:t>
            </w:r>
            <w:r>
              <w:rPr>
                <w:rFonts w:hint="eastAsia"/>
                <w:sz w:val="21"/>
                <w:szCs w:val="21"/>
              </w:rPr>
              <w:t>5</w:t>
            </w:r>
            <w:r>
              <w:rPr>
                <w:sz w:val="21"/>
                <w:szCs w:val="21"/>
              </w:rPr>
              <w:t>）固体废</w:t>
            </w:r>
            <w:r>
              <w:rPr>
                <w:rFonts w:hint="eastAsia"/>
                <w:sz w:val="21"/>
                <w:szCs w:val="21"/>
              </w:rPr>
              <w:t>弃</w:t>
            </w:r>
            <w:r>
              <w:rPr>
                <w:sz w:val="21"/>
                <w:szCs w:val="21"/>
              </w:rPr>
              <w:t>物环境影响评价</w:t>
            </w:r>
            <w:r>
              <w:rPr>
                <w:rFonts w:hint="eastAsia"/>
                <w:sz w:val="21"/>
                <w:szCs w:val="21"/>
                <w:lang w:eastAsia="zh-CN"/>
              </w:rPr>
              <w:t>。</w:t>
            </w:r>
            <w:r>
              <w:rPr>
                <w:rFonts w:hint="eastAsia"/>
                <w:sz w:val="21"/>
                <w:szCs w:val="21"/>
              </w:rPr>
              <w:t>本项目开采年限内产生废石1.12万m</w:t>
            </w:r>
            <w:r>
              <w:rPr>
                <w:rFonts w:hint="eastAsia"/>
                <w:sz w:val="21"/>
                <w:szCs w:val="21"/>
                <w:vertAlign w:val="superscript"/>
              </w:rPr>
              <w:t>3</w:t>
            </w:r>
            <w:r>
              <w:rPr>
                <w:rFonts w:hint="eastAsia"/>
                <w:sz w:val="21"/>
                <w:szCs w:val="21"/>
              </w:rPr>
              <w:t>，集堆后用于铺路或外售用于场地平整；表土剥离2.29万m</w:t>
            </w:r>
            <w:r>
              <w:rPr>
                <w:rFonts w:hint="eastAsia"/>
                <w:sz w:val="21"/>
                <w:szCs w:val="21"/>
                <w:vertAlign w:val="superscript"/>
              </w:rPr>
              <w:t>3</w:t>
            </w:r>
            <w:r>
              <w:rPr>
                <w:rFonts w:hint="eastAsia"/>
                <w:sz w:val="21"/>
                <w:szCs w:val="21"/>
              </w:rPr>
              <w:t>，暂存于临时表土场内，后期用于覆土绿化。积极落实本评价提出的有关措施后，弃渣可得到合理处置，对环境影响不大。生活垃圾15kg/d，4.5t/a，</w:t>
            </w:r>
            <w:r>
              <w:rPr>
                <w:sz w:val="21"/>
                <w:szCs w:val="21"/>
              </w:rPr>
              <w:t>该项目的固体废弃物均采取了较为合理的处理措施，处置率为100%。因此，本项目固体废弃物对外环境影响</w:t>
            </w:r>
            <w:r>
              <w:rPr>
                <w:rFonts w:hint="eastAsia"/>
                <w:sz w:val="21"/>
                <w:szCs w:val="21"/>
              </w:rPr>
              <w:t>较小</w:t>
            </w:r>
            <w:r>
              <w:rPr>
                <w:sz w:val="21"/>
                <w:szCs w:val="21"/>
              </w:rPr>
              <w:t>。</w:t>
            </w:r>
            <w:r>
              <w:rPr>
                <w:rFonts w:hint="eastAsia"/>
                <w:sz w:val="21"/>
                <w:szCs w:val="21"/>
              </w:rPr>
              <w:t>（6）生态环境影响分析</w:t>
            </w:r>
            <w:r>
              <w:rPr>
                <w:rFonts w:hint="eastAsia"/>
                <w:sz w:val="21"/>
                <w:szCs w:val="21"/>
                <w:lang w:eastAsia="zh-CN"/>
              </w:rPr>
              <w:t>。</w:t>
            </w:r>
            <w:r>
              <w:rPr>
                <w:rFonts w:hint="eastAsia"/>
                <w:sz w:val="21"/>
                <w:szCs w:val="21"/>
              </w:rPr>
              <w:t>采矿过程中对生态环境的影响和破坏较大，通过落实本项目环评中相关生态环境保护的措施和项目水土保持方案提出的措施后，项目对生态环境的影响可以降到最低程度。另外，矿区生产运行产生的粉尘会降落在附近的植物、茶园和农作物叶面，影响茶园和农作物的光合作用，从而影响其产量和品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2945" w:hRule="atLeast"/>
          <w:jc w:val="center"/>
        </w:trPr>
        <w:tc>
          <w:tcPr>
            <w:tcW w:w="596" w:type="dxa"/>
            <w:shd w:val="clear" w:color="auto" w:fill="auto"/>
            <w:vAlign w:val="center"/>
          </w:tcPr>
          <w:p>
            <w:pPr>
              <w:autoSpaceDN w:val="0"/>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w:t>
            </w:r>
          </w:p>
        </w:tc>
        <w:tc>
          <w:tcPr>
            <w:tcW w:w="1273" w:type="dxa"/>
            <w:shd w:val="clear" w:color="auto" w:fill="auto"/>
            <w:vAlign w:val="center"/>
          </w:tcPr>
          <w:p>
            <w:pPr>
              <w:widowControl/>
              <w:jc w:val="center"/>
              <w:rPr>
                <w:rFonts w:hint="eastAsia" w:ascii="Times New Roman" w:hAnsi="Times New Roman"/>
                <w:kern w:val="0"/>
                <w:sz w:val="21"/>
                <w:szCs w:val="21"/>
                <w:lang w:eastAsia="zh-CN"/>
              </w:rPr>
            </w:pPr>
            <w:r>
              <w:rPr>
                <w:rFonts w:hint="eastAsia" w:ascii="Times New Roman" w:hAnsi="Times New Roman"/>
                <w:kern w:val="0"/>
                <w:sz w:val="21"/>
                <w:szCs w:val="21"/>
                <w:lang w:eastAsia="zh-CN"/>
              </w:rPr>
              <w:t>景洪市景兰大桥工程</w:t>
            </w:r>
          </w:p>
        </w:tc>
        <w:tc>
          <w:tcPr>
            <w:tcW w:w="810" w:type="dxa"/>
            <w:shd w:val="clear" w:color="auto" w:fill="auto"/>
            <w:vAlign w:val="center"/>
          </w:tcPr>
          <w:p>
            <w:pPr>
              <w:widowControl/>
              <w:jc w:val="center"/>
              <w:rPr>
                <w:rFonts w:hint="eastAsia" w:cs="Calibri"/>
                <w:color w:val="333333"/>
                <w:kern w:val="0"/>
                <w:sz w:val="21"/>
                <w:szCs w:val="21"/>
              </w:rPr>
            </w:pPr>
            <w:r>
              <w:rPr>
                <w:rFonts w:hint="eastAsia" w:ascii="Times New Roman" w:hAnsi="Times New Roman"/>
                <w:kern w:val="0"/>
                <w:sz w:val="21"/>
                <w:szCs w:val="21"/>
                <w:lang w:eastAsia="zh-CN"/>
              </w:rPr>
              <w:t>景洪市中心城区东南侧（沧江新区大沙坝地段，横跨流沙河）</w:t>
            </w:r>
          </w:p>
        </w:tc>
        <w:tc>
          <w:tcPr>
            <w:tcW w:w="990" w:type="dxa"/>
            <w:shd w:val="clear" w:color="auto" w:fill="auto"/>
            <w:vAlign w:val="center"/>
          </w:tcPr>
          <w:p>
            <w:pPr>
              <w:widowControl/>
              <w:jc w:val="center"/>
              <w:rPr>
                <w:rFonts w:hint="eastAsia" w:cs="Calibri"/>
                <w:bCs/>
                <w:color w:val="333333"/>
                <w:kern w:val="0"/>
                <w:sz w:val="21"/>
                <w:szCs w:val="21"/>
              </w:rPr>
            </w:pPr>
            <w:r>
              <w:rPr>
                <w:rFonts w:hint="eastAsia" w:ascii="Times New Roman" w:hAnsi="Times New Roman"/>
                <w:kern w:val="0"/>
                <w:sz w:val="21"/>
                <w:szCs w:val="21"/>
                <w:lang w:eastAsia="zh-CN"/>
              </w:rPr>
              <w:t>景洪市城市投资开发有限公司</w:t>
            </w:r>
          </w:p>
        </w:tc>
        <w:tc>
          <w:tcPr>
            <w:tcW w:w="1365" w:type="dxa"/>
            <w:shd w:val="clear" w:color="auto" w:fill="auto"/>
            <w:vAlign w:val="center"/>
          </w:tcPr>
          <w:p>
            <w:pPr>
              <w:widowControl/>
              <w:jc w:val="center"/>
              <w:rPr>
                <w:rFonts w:hint="eastAsia" w:cs="Calibri"/>
                <w:color w:val="333333"/>
                <w:kern w:val="0"/>
                <w:sz w:val="21"/>
                <w:szCs w:val="21"/>
              </w:rPr>
            </w:pPr>
            <w:r>
              <w:rPr>
                <w:rFonts w:hint="eastAsia" w:ascii="Times New Roman" w:hAnsi="Times New Roman"/>
                <w:kern w:val="0"/>
                <w:sz w:val="21"/>
                <w:szCs w:val="21"/>
                <w:lang w:eastAsia="zh-CN"/>
              </w:rPr>
              <w:t>云南天启环境工程有限公司</w:t>
            </w:r>
          </w:p>
        </w:tc>
        <w:tc>
          <w:tcPr>
            <w:tcW w:w="2318" w:type="dxa"/>
            <w:shd w:val="clear" w:color="auto" w:fill="auto"/>
            <w:vAlign w:val="center"/>
          </w:tcPr>
          <w:p>
            <w:pPr>
              <w:ind w:firstLine="420" w:firstLineChars="200"/>
              <w:jc w:val="center"/>
              <w:rPr>
                <w:rFonts w:hint="eastAsia"/>
                <w:sz w:val="21"/>
                <w:szCs w:val="21"/>
              </w:rPr>
            </w:pPr>
            <w:r>
              <w:rPr>
                <w:rFonts w:hint="eastAsia"/>
                <w:sz w:val="21"/>
                <w:szCs w:val="21"/>
              </w:rPr>
              <w:t>拟建桥梁位于景洪市中心城区东南侧（沧江新区大沙坝地段，横跨流沙河桥梁总长为186.08m，标准桥面宽36m，全桥两侧引道长368.53m，本路段按城市主干道Ⅲ级建设，道路宽度为36m，路面为沥青混凝土路面，设计速度40km/h。桥头两岸为与原道路衔接，设桥头引道，引道宽度与桥同宽，为36m。流沙河左岸引道长100m，衔接景兰大道止点；右岸引道长268.53m，止点接曼弄枫8号路。引道工程包含路基填方、路面、人行道、路灯、路面标线、绿化、雨水管等。</w:t>
            </w:r>
          </w:p>
          <w:p>
            <w:pPr>
              <w:jc w:val="center"/>
              <w:rPr>
                <w:rFonts w:hint="eastAsia" w:ascii="Times New Roman" w:hAnsi="宋体" w:eastAsia="宋体" w:cs="Times New Roman"/>
                <w:kern w:val="0"/>
                <w:sz w:val="21"/>
                <w:szCs w:val="21"/>
                <w:lang w:eastAsia="zh-CN"/>
              </w:rPr>
            </w:pPr>
            <w:r>
              <w:rPr>
                <w:rFonts w:hint="eastAsia"/>
                <w:sz w:val="21"/>
                <w:szCs w:val="21"/>
              </w:rPr>
              <w:t>本工程总投资9574.43万元，环保投资为1162.44万元。工程建设工期为2018年6月~2020年6月，共计24个月。</w:t>
            </w:r>
          </w:p>
        </w:tc>
        <w:tc>
          <w:tcPr>
            <w:tcW w:w="7936" w:type="dxa"/>
            <w:shd w:val="clear" w:color="auto" w:fill="auto"/>
            <w:vAlign w:val="center"/>
          </w:tcPr>
          <w:p>
            <w:pPr>
              <w:autoSpaceDN w:val="0"/>
              <w:jc w:val="both"/>
              <w:rPr>
                <w:rFonts w:hint="eastAsia"/>
                <w:b/>
                <w:sz w:val="21"/>
                <w:szCs w:val="21"/>
              </w:rPr>
            </w:pPr>
            <w:r>
              <w:rPr>
                <w:rFonts w:hint="eastAsia"/>
                <w:b/>
                <w:sz w:val="21"/>
                <w:szCs w:val="21"/>
              </w:rPr>
              <w:t>项目主要环境影响：（1）施工期影响：</w:t>
            </w:r>
            <w:r>
              <w:rPr>
                <w:rFonts w:hint="eastAsia"/>
                <w:sz w:val="21"/>
                <w:szCs w:val="21"/>
              </w:rPr>
              <w:t>①废气：主要为</w:t>
            </w:r>
            <w:r>
              <w:rPr>
                <w:sz w:val="21"/>
                <w:szCs w:val="21"/>
              </w:rPr>
              <w:t>施工扬尘</w:t>
            </w:r>
            <w:r>
              <w:rPr>
                <w:rFonts w:hint="eastAsia"/>
                <w:sz w:val="21"/>
                <w:szCs w:val="21"/>
              </w:rPr>
              <w:t>、运输车辆及施工设备尾气、沥青烟；②废水：主要为机械和车辆维修保养废水；③固体废物：主要为废土石方、建筑垃圾及施工人员生活垃圾；④噪声：主要为施工机械及车辆噪声。</w:t>
            </w:r>
            <w:r>
              <w:rPr>
                <w:rFonts w:hint="eastAsia"/>
                <w:b/>
                <w:sz w:val="21"/>
                <w:szCs w:val="21"/>
              </w:rPr>
              <w:t>（2）运营期影响：</w:t>
            </w:r>
            <w:r>
              <w:rPr>
                <w:rFonts w:hint="eastAsia"/>
                <w:sz w:val="21"/>
                <w:szCs w:val="21"/>
              </w:rPr>
              <w:t>①废气：主要为汽车尾气及桥面扬尘；②废水：地表径流</w:t>
            </w:r>
            <w:r>
              <w:rPr>
                <w:rFonts w:hint="eastAsia"/>
                <w:sz w:val="21"/>
                <w:szCs w:val="21"/>
                <w:lang w:eastAsia="zh-CN"/>
              </w:rPr>
              <w:t>；</w:t>
            </w:r>
            <w:r>
              <w:rPr>
                <w:rFonts w:hint="eastAsia"/>
                <w:sz w:val="21"/>
                <w:szCs w:val="21"/>
              </w:rPr>
              <w:t>③固体废物：主要为生活垃圾； ④噪声：主要为交通噪声。</w:t>
            </w:r>
            <w:r>
              <w:rPr>
                <w:rFonts w:hint="eastAsia"/>
                <w:b/>
                <w:sz w:val="21"/>
                <w:szCs w:val="21"/>
              </w:rPr>
              <w:t>项目预防与减轻不良环境影响的对策和措施：</w:t>
            </w:r>
          </w:p>
          <w:p>
            <w:pPr>
              <w:autoSpaceDN w:val="0"/>
              <w:jc w:val="both"/>
              <w:rPr>
                <w:rFonts w:hint="eastAsia"/>
                <w:sz w:val="21"/>
                <w:szCs w:val="21"/>
              </w:rPr>
            </w:pPr>
            <w:r>
              <w:rPr>
                <w:rFonts w:hint="eastAsia"/>
                <w:b/>
                <w:sz w:val="21"/>
                <w:szCs w:val="21"/>
              </w:rPr>
              <w:t>（1）施工期对策措施：</w:t>
            </w:r>
            <w:r>
              <w:rPr>
                <w:rFonts w:hint="eastAsia"/>
                <w:sz w:val="21"/>
                <w:szCs w:val="21"/>
              </w:rPr>
              <w:t>①废气：对施工场地和运输道路洒水抑尘，经常对道路和施工区进行清扫；装运含尘物料的运输车辆加盖篷布；加强车辆和施工设备的维护和保养；采用商品沥青，现场不设搅拌站。②废水：施工生活污水经废水沉淀池沉淀后回用于施工或用于施工区内场地洒水降尘；含油废水经过隔油池和沉淀池沉淀后回用于施工或用于洒水降尘。③固体废物：废土石方全部送至合法弃土场堆放；可回收建筑垃圾回收后卖给当地废品收购站；不可回收建筑垃圾回填基坑或送合法弃土场堆放；生活垃圾统一收集后，派专人定时打扫清理。④噪声：选用环保低噪声的设备，加强机械设备的维护和保养，夜间不进行施工活动。</w:t>
            </w:r>
            <w:r>
              <w:rPr>
                <w:rFonts w:hint="eastAsia"/>
                <w:b/>
                <w:sz w:val="21"/>
                <w:szCs w:val="21"/>
              </w:rPr>
              <w:t>（2）运营期对策措施：</w:t>
            </w:r>
            <w:r>
              <w:rPr>
                <w:rFonts w:hint="eastAsia"/>
                <w:sz w:val="21"/>
                <w:szCs w:val="21"/>
              </w:rPr>
              <w:t>①废气：道路保养人员定期清扫。②废水：</w:t>
            </w:r>
            <w:r>
              <w:rPr>
                <w:color w:val="000000"/>
                <w:sz w:val="21"/>
                <w:szCs w:val="21"/>
              </w:rPr>
              <w:t>雨水经雨水口流入配套建设的雨水管网</w:t>
            </w:r>
            <w:r>
              <w:rPr>
                <w:rFonts w:hint="eastAsia"/>
                <w:color w:val="000000"/>
                <w:sz w:val="21"/>
                <w:szCs w:val="21"/>
              </w:rPr>
              <w:t>。</w:t>
            </w:r>
            <w:r>
              <w:rPr>
                <w:rFonts w:hint="eastAsia"/>
                <w:sz w:val="21"/>
                <w:szCs w:val="21"/>
              </w:rPr>
              <w:t>②固体废物：由环卫部门负责。</w:t>
            </w:r>
          </w:p>
          <w:p>
            <w:pPr>
              <w:jc w:val="both"/>
              <w:rPr>
                <w:rFonts w:hint="eastAsia"/>
                <w:sz w:val="21"/>
                <w:szCs w:val="21"/>
              </w:rPr>
            </w:pPr>
            <w:r>
              <w:rPr>
                <w:rFonts w:hint="eastAsia"/>
                <w:sz w:val="21"/>
                <w:szCs w:val="21"/>
              </w:rPr>
              <w:t>③噪声：</w:t>
            </w:r>
            <w:r>
              <w:rPr>
                <w:color w:val="000000"/>
                <w:sz w:val="21"/>
                <w:szCs w:val="21"/>
              </w:rPr>
              <w:t>预留合理的防护距离</w:t>
            </w:r>
            <w:r>
              <w:rPr>
                <w:rFonts w:hint="eastAsia"/>
                <w:color w:val="000000"/>
                <w:sz w:val="21"/>
                <w:szCs w:val="21"/>
              </w:rPr>
              <w:t>；</w:t>
            </w:r>
            <w:r>
              <w:rPr>
                <w:color w:val="000000"/>
                <w:sz w:val="21"/>
                <w:szCs w:val="21"/>
              </w:rPr>
              <w:t>跟踪监测与管理</w:t>
            </w:r>
            <w:r>
              <w:rPr>
                <w:rFonts w:hint="eastAsia"/>
                <w:color w:val="000000"/>
                <w:sz w:val="21"/>
                <w:szCs w:val="21"/>
              </w:rPr>
              <w:t>。</w:t>
            </w:r>
          </w:p>
        </w:tc>
      </w:tr>
    </w:tbl>
    <w:p>
      <w:pPr>
        <w:jc w:val="both"/>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
    <w:altName w:val="Times New Roman"/>
    <w:panose1 w:val="00000000000000000000"/>
    <w:charset w:val="00"/>
    <w:family w:val="roman"/>
    <w:pitch w:val="default"/>
    <w:sig w:usb0="00000000" w:usb1="00000000" w:usb2="00000000" w:usb3="00000000" w:csb0="00000001" w:csb1="00000000"/>
  </w:font>
  <w:font w:name="Arail">
    <w:altName w:val="微软雅黑"/>
    <w:panose1 w:val="00000000000000000000"/>
    <w:charset w:val="00"/>
    <w:family w:val="auto"/>
    <w:pitch w:val="default"/>
    <w:sig w:usb0="00000000" w:usb1="00000000" w:usb2="00000000" w:usb3="00000000" w:csb0="00040001" w:csb1="00000000"/>
  </w:font>
  <w:font w:name="Calibri">
    <w:panose1 w:val="020F0502020204030204"/>
    <w:charset w:val="86"/>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3000509000000000000"/>
    <w:charset w:val="86"/>
    <w:family w:val="script"/>
    <w:pitch w:val="default"/>
    <w:sig w:usb0="00000000" w:usb1="00000000" w:usb2="00000010" w:usb3="00000000" w:csb0="00040000" w:csb1="00000000"/>
  </w:font>
  <w:font w:name="TimesNewRomanPSMT">
    <w:altName w:val="MS Gothic"/>
    <w:panose1 w:val="00000000000000000000"/>
    <w:charset w:val="80"/>
    <w:family w:val="auto"/>
    <w:pitch w:val="default"/>
    <w:sig w:usb0="00000000" w:usb1="00000000" w:usb2="00000000" w:usb3="00000000" w:csb0="00020000" w:csb1="00000000"/>
  </w:font>
  <w:font w:name="新宋体">
    <w:panose1 w:val="02010609030101010101"/>
    <w:charset w:val="86"/>
    <w:family w:val="modern"/>
    <w:pitch w:val="default"/>
    <w:sig w:usb0="00000003" w:usb1="288F0000" w:usb2="00000006"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MS Gothic">
    <w:panose1 w:val="020B0609070205080204"/>
    <w:charset w:val="80"/>
    <w:family w:val="auto"/>
    <w:pitch w:val="default"/>
    <w:sig w:usb0="E00002FF" w:usb1="6AC7FDFB" w:usb2="00000012" w:usb3="00000000" w:csb0="4002009F" w:csb1="DFD70000"/>
  </w:font>
  <w:font w:name="方正小标宋_GBK">
    <w:panose1 w:val="03000509000000000000"/>
    <w:charset w:val="86"/>
    <w:family w:val="auto"/>
    <w:pitch w:val="default"/>
    <w:sig w:usb0="00000001" w:usb1="080E0000" w:usb2="00000000" w:usb3="00000000" w:csb0="00040000" w:csb1="00000000"/>
  </w:font>
  <w:font w:name="Arial Narrow">
    <w:panose1 w:val="020B0506020202030204"/>
    <w:charset w:val="00"/>
    <w:family w:val="swiss"/>
    <w:pitch w:val="default"/>
    <w:sig w:usb0="00000287" w:usb1="00000000" w:usb2="00000000" w:usb3="00000000" w:csb0="2000009F" w:csb1="DFD70000"/>
  </w:font>
  <w:font w:name="Geneva">
    <w:altName w:val="Arial"/>
    <w:panose1 w:val="00000000000000000000"/>
    <w:charset w:val="00"/>
    <w:family w:val="swiss"/>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83CD9"/>
    <w:multiLevelType w:val="multilevel"/>
    <w:tmpl w:val="58C83CD9"/>
    <w:lvl w:ilvl="0" w:tentative="0">
      <w:start w:val="1"/>
      <w:numFmt w:val="chineseCountingThousand"/>
      <w:lvlText w:val="表%1、"/>
      <w:lvlJc w:val="left"/>
      <w:pPr>
        <w:tabs>
          <w:tab w:val="left" w:pos="1282"/>
        </w:tabs>
        <w:ind w:left="1282" w:hanging="432"/>
      </w:pPr>
      <w:rPr>
        <w:rFonts w:hint="eastAsia" w:cs="Times New Roman"/>
      </w:rPr>
    </w:lvl>
    <w:lvl w:ilvl="1" w:tentative="0">
      <w:start w:val="1"/>
      <w:numFmt w:val="decimal"/>
      <w:lvlText w:val="%1.%2"/>
      <w:lvlJc w:val="left"/>
      <w:pPr>
        <w:tabs>
          <w:tab w:val="left" w:pos="576"/>
        </w:tabs>
        <w:ind w:left="576" w:hanging="576"/>
      </w:pPr>
      <w:rPr>
        <w:rFonts w:hint="eastAsia" w:cs="Times New Roman"/>
      </w:rPr>
    </w:lvl>
    <w:lvl w:ilvl="2" w:tentative="0">
      <w:start w:val="1"/>
      <w:numFmt w:val="decimal"/>
      <w:pStyle w:val="3"/>
      <w:lvlText w:val="%1.%2.%3"/>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A0446"/>
    <w:rsid w:val="04D93C00"/>
    <w:rsid w:val="0A655E9F"/>
    <w:rsid w:val="16230CA3"/>
    <w:rsid w:val="1FFB1CBB"/>
    <w:rsid w:val="40B923D2"/>
    <w:rsid w:val="471A0446"/>
    <w:rsid w:val="517D3B21"/>
    <w:rsid w:val="54465DA9"/>
    <w:rsid w:val="54B24B3D"/>
    <w:rsid w:val="5D73410F"/>
    <w:rsid w:val="6158209A"/>
    <w:rsid w:val="669F2BDD"/>
    <w:rsid w:val="7D321F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center"/>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0"/>
    <w:pPr>
      <w:keepNext/>
      <w:keepLines/>
      <w:numPr>
        <w:ilvl w:val="2"/>
        <w:numId w:val="1"/>
      </w:numPr>
      <w:tabs>
        <w:tab w:val="left" w:pos="432"/>
        <w:tab w:val="clear" w:pos="720"/>
      </w:tabs>
      <w:spacing w:before="260" w:beforeLines="0" w:after="260" w:afterLines="0" w:line="416" w:lineRule="auto"/>
      <w:ind w:left="720" w:hanging="720"/>
      <w:outlineLvl w:val="2"/>
    </w:pPr>
    <w:rPr>
      <w:b/>
      <w:sz w:val="32"/>
      <w:szCs w:val="20"/>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jc w:val="both"/>
    </w:pPr>
    <w:rPr>
      <w:rFonts w:ascii="宋体" w:hAnsi="Times New Roman" w:eastAsia="宋体" w:cs="宋体"/>
      <w:color w:val="000000"/>
      <w:sz w:val="24"/>
      <w:szCs w:val="24"/>
      <w:lang w:val="en-US" w:eastAsia="zh-CN" w:bidi="ar-SA"/>
    </w:rPr>
  </w:style>
  <w:style w:type="paragraph" w:styleId="4">
    <w:name w:val="Normal Indent"/>
    <w:basedOn w:val="1"/>
    <w:qFormat/>
    <w:uiPriority w:val="0"/>
    <w:pPr>
      <w:adjustRightInd w:val="0"/>
      <w:snapToGrid w:val="0"/>
      <w:spacing w:line="360" w:lineRule="auto"/>
      <w:ind w:firstLine="200" w:firstLineChars="200"/>
    </w:pPr>
    <w:rPr>
      <w:rFonts w:ascii="宋体" w:hAnsi="宋体"/>
      <w:snapToGrid w:val="0"/>
      <w:color w:val="000000"/>
      <w:kern w:val="0"/>
      <w:sz w:val="24"/>
      <w:szCs w:val="20"/>
    </w:rPr>
  </w:style>
  <w:style w:type="character" w:styleId="6">
    <w:name w:val="annotation reference"/>
    <w:qFormat/>
    <w:uiPriority w:val="0"/>
    <w:rPr>
      <w:kern w:val="2"/>
      <w:sz w:val="21"/>
      <w:szCs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trs_preexcel"/>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2018-02-05T02:06:00Z</dcterms:created>
  <dc:creator>Administrator</dc:creator>
  <cp:lastModifiedBy>Administrator</cp:lastModifiedBy>
  <dcterms:modified xsi:type="dcterms:W3CDTF">2018-07-16T09:08:56Z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