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hint="eastAsia" w:ascii="方正小标宋_GBK" w:eastAsia="方正小标宋_GBK"/>
          <w:sz w:val="44"/>
          <w:szCs w:val="44"/>
        </w:rPr>
      </w:pPr>
      <w:bookmarkStart w:id="0" w:name="_GoBack"/>
      <w:bookmarkEnd w:id="0"/>
      <w:r>
        <w:rPr>
          <w:rFonts w:hint="eastAsia" w:ascii="方正小标宋_GBK" w:eastAsia="方正小标宋_GBK"/>
          <w:sz w:val="44"/>
          <w:szCs w:val="44"/>
        </w:rPr>
        <w:t>景洪市201</w:t>
      </w:r>
      <w:r>
        <w:rPr>
          <w:rFonts w:hint="eastAsia" w:ascii="方正小标宋_GBK" w:eastAsia="方正小标宋_GBK"/>
          <w:sz w:val="44"/>
          <w:szCs w:val="44"/>
          <w:lang w:val="en-US" w:eastAsia="zh-CN"/>
        </w:rPr>
        <w:t>9</w:t>
      </w:r>
      <w:r>
        <w:rPr>
          <w:rFonts w:hint="eastAsia" w:ascii="方正小标宋_GBK" w:eastAsia="方正小标宋_GBK"/>
          <w:sz w:val="44"/>
          <w:szCs w:val="44"/>
        </w:rPr>
        <w:t>年“三公”经费决算</w:t>
      </w:r>
      <w:r>
        <w:rPr>
          <w:rFonts w:hint="eastAsia" w:ascii="方正小标宋_GBK" w:eastAsia="方正小标宋_GBK"/>
          <w:sz w:val="44"/>
          <w:szCs w:val="44"/>
          <w:lang w:eastAsia="zh-CN"/>
        </w:rPr>
        <w:t>情况说明</w:t>
      </w:r>
    </w:p>
    <w:p>
      <w:pPr>
        <w:spacing w:line="400" w:lineRule="exact"/>
        <w:jc w:val="center"/>
        <w:rPr>
          <w:rFonts w:hint="eastAsia" w:ascii="方正小标宋_GBK" w:eastAsia="方正小标宋_GBK"/>
          <w:sz w:val="44"/>
          <w:szCs w:val="44"/>
        </w:rPr>
      </w:pP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i w:val="0"/>
          <w:caps w:val="0"/>
          <w:color w:val="333333"/>
          <w:spacing w:val="0"/>
          <w:sz w:val="32"/>
          <w:szCs w:val="32"/>
          <w:shd w:val="clear" w:fill="FFFFFF"/>
        </w:rPr>
        <w:t>根据国务院关于推进政府预算信息公开的决策部署和市政府工作安排，经景洪市财政局汇总，市人民政府审定，现将景洪市部门（包括行政单位、事业单位以及其他使用一般公共预算财政拨款安排“三公”经费单位）</w:t>
      </w:r>
      <w:r>
        <w:rPr>
          <w:rFonts w:hint="default" w:ascii="Times New Roman" w:hAnsi="Times New Roman" w:eastAsia="仿宋_GB2312" w:cs="Times New Roman"/>
          <w:i w:val="0"/>
          <w:caps w:val="0"/>
          <w:color w:val="333333"/>
          <w:spacing w:val="0"/>
          <w:sz w:val="32"/>
          <w:szCs w:val="32"/>
          <w:shd w:val="clear" w:fill="FFFFFF"/>
          <w:lang w:val="en-US" w:eastAsia="zh-CN"/>
        </w:rPr>
        <w:t>2019</w:t>
      </w:r>
      <w:r>
        <w:rPr>
          <w:rFonts w:hint="default" w:ascii="Times New Roman" w:hAnsi="Times New Roman" w:eastAsia="仿宋_GB2312" w:cs="Times New Roman"/>
          <w:i w:val="0"/>
          <w:caps w:val="0"/>
          <w:color w:val="333333"/>
          <w:spacing w:val="0"/>
          <w:sz w:val="32"/>
          <w:szCs w:val="32"/>
          <w:shd w:val="clear" w:fill="FFFFFF"/>
        </w:rPr>
        <w:t>年“三公”经费决算情况公开如下：</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640" w:firstLineChars="200"/>
        <w:jc w:val="both"/>
        <w:textAlignment w:val="auto"/>
        <w:outlineLvl w:val="9"/>
        <w:rPr>
          <w:rFonts w:hint="default" w:ascii="Times New Roman" w:hAnsi="Times New Roman" w:eastAsia="仿宋_GB2312" w:cs="Times New Roman"/>
          <w:i w:val="0"/>
          <w:caps w:val="0"/>
          <w:color w:val="333333"/>
          <w:spacing w:val="0"/>
          <w:sz w:val="32"/>
          <w:szCs w:val="32"/>
          <w:shd w:val="clear" w:fill="FFFFFF"/>
        </w:rPr>
      </w:pPr>
      <w:r>
        <w:rPr>
          <w:rFonts w:hint="default" w:ascii="Times New Roman" w:hAnsi="Times New Roman" w:eastAsia="仿宋_GB2312" w:cs="Times New Roman"/>
          <w:i w:val="0"/>
          <w:caps w:val="0"/>
          <w:color w:val="333333"/>
          <w:spacing w:val="0"/>
          <w:sz w:val="32"/>
          <w:szCs w:val="32"/>
          <w:shd w:val="clear" w:fill="FFFFFF"/>
        </w:rPr>
        <w:t>按</w:t>
      </w:r>
      <w:r>
        <w:rPr>
          <w:rFonts w:hint="default" w:ascii="Times New Roman" w:hAnsi="Times New Roman" w:eastAsia="仿宋_GB2312" w:cs="Times New Roman"/>
          <w:i w:val="0"/>
          <w:caps w:val="0"/>
          <w:color w:val="333333"/>
          <w:spacing w:val="0"/>
          <w:sz w:val="32"/>
          <w:szCs w:val="32"/>
          <w:shd w:val="clear" w:fill="FFFFFF"/>
          <w:lang w:val="en-US" w:eastAsia="zh-CN"/>
        </w:rPr>
        <w:t>2018</w:t>
      </w:r>
      <w:r>
        <w:rPr>
          <w:rFonts w:hint="default" w:ascii="Times New Roman" w:hAnsi="Times New Roman" w:eastAsia="仿宋_GB2312" w:cs="Times New Roman"/>
          <w:i w:val="0"/>
          <w:caps w:val="0"/>
          <w:color w:val="333333"/>
          <w:spacing w:val="0"/>
          <w:sz w:val="32"/>
          <w:szCs w:val="32"/>
          <w:shd w:val="clear" w:fill="FFFFFF"/>
        </w:rPr>
        <w:t>年同口径数据对比，景洪市</w:t>
      </w:r>
      <w:r>
        <w:rPr>
          <w:rFonts w:hint="default" w:ascii="Times New Roman" w:hAnsi="Times New Roman" w:eastAsia="仿宋_GB2312" w:cs="Times New Roman"/>
          <w:i w:val="0"/>
          <w:caps w:val="0"/>
          <w:color w:val="333333"/>
          <w:spacing w:val="0"/>
          <w:sz w:val="32"/>
          <w:szCs w:val="32"/>
          <w:shd w:val="clear" w:fill="FFFFFF"/>
          <w:lang w:val="en-US" w:eastAsia="zh-CN"/>
        </w:rPr>
        <w:t>2019</w:t>
      </w:r>
      <w:r>
        <w:rPr>
          <w:rFonts w:hint="default" w:ascii="Times New Roman" w:hAnsi="Times New Roman" w:eastAsia="仿宋_GB2312" w:cs="Times New Roman"/>
          <w:i w:val="0"/>
          <w:caps w:val="0"/>
          <w:color w:val="333333"/>
          <w:spacing w:val="0"/>
          <w:sz w:val="32"/>
          <w:szCs w:val="32"/>
          <w:shd w:val="clear" w:fill="FFFFFF"/>
        </w:rPr>
        <w:t>年一般公共预算财政拨款“三公”经费支出决算汇总数为</w:t>
      </w:r>
      <w:r>
        <w:rPr>
          <w:rFonts w:hint="default" w:ascii="Times New Roman" w:hAnsi="Times New Roman" w:eastAsia="仿宋_GB2312" w:cs="Times New Roman"/>
          <w:color w:val="000000" w:themeColor="text1"/>
          <w:sz w:val="32"/>
          <w:szCs w:val="32"/>
          <w14:textFill>
            <w14:solidFill>
              <w14:schemeClr w14:val="tx1"/>
            </w14:solidFill>
          </w14:textFill>
        </w:rPr>
        <w:t>1291.50</w:t>
      </w:r>
      <w:r>
        <w:rPr>
          <w:rFonts w:hint="default" w:ascii="Times New Roman" w:hAnsi="Times New Roman" w:eastAsia="仿宋_GB2312" w:cs="Times New Roman"/>
          <w:i w:val="0"/>
          <w:caps w:val="0"/>
          <w:color w:val="333333"/>
          <w:spacing w:val="0"/>
          <w:sz w:val="32"/>
          <w:szCs w:val="32"/>
          <w:shd w:val="clear" w:fill="FFFFFF"/>
        </w:rPr>
        <w:t>万元，1436.38万元减少144.88万元，下降10.09%。其中：</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i w:val="0"/>
          <w:caps w:val="0"/>
          <w:color w:val="333333"/>
          <w:spacing w:val="0"/>
          <w:sz w:val="32"/>
          <w:szCs w:val="32"/>
          <w:shd w:val="clear" w:fill="FFFFFF"/>
        </w:rPr>
        <w:t>2019年因公出国（境）费为49.93万元，较上年33.7万元增加16.23万元，增长</w:t>
      </w:r>
      <w:r>
        <w:rPr>
          <w:rFonts w:hint="default" w:ascii="Times New Roman" w:hAnsi="Times New Roman" w:eastAsia="仿宋_GB2312" w:cs="Times New Roman"/>
          <w:color w:val="000000" w:themeColor="text1"/>
          <w:sz w:val="32"/>
          <w:szCs w:val="32"/>
          <w14:textFill>
            <w14:solidFill>
              <w14:schemeClr w14:val="tx1"/>
            </w14:solidFill>
          </w14:textFill>
        </w:rPr>
        <w:t>48.16%，其中因公出国（境）团组4个，因公出国（境）46人次。增加主要原因是外事活动工作交流的需要出国（境）增加。</w:t>
      </w:r>
    </w:p>
    <w:p>
      <w:pPr>
        <w:keepNext w:val="0"/>
        <w:keepLines w:val="0"/>
        <w:pageBreakBefore w:val="0"/>
        <w:kinsoku/>
        <w:wordWrap/>
        <w:overflowPunct/>
        <w:topLinePunct w:val="0"/>
        <w:autoSpaceDE/>
        <w:autoSpaceDN/>
        <w:bidi w:val="0"/>
        <w:adjustRightInd/>
        <w:snapToGrid/>
        <w:spacing w:line="640" w:lineRule="exact"/>
        <w:ind w:left="0" w:leftChars="0" w:right="0" w:righ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2019年公务接待费为182.11万元，较上年314.66万元减少132.55万元，下降42.12%，国内公务接待4054批次，其中外事接待1次，国内接待37333人次，其中外事接待54人次。</w:t>
      </w:r>
    </w:p>
    <w:p>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80" w:lineRule="atLeast"/>
        <w:ind w:left="0" w:leftChars="0" w:right="0" w:rightChars="0" w:firstLine="640" w:firstLineChars="200"/>
        <w:jc w:val="both"/>
        <w:textAlignment w:val="auto"/>
        <w:rPr>
          <w:rFonts w:hint="default" w:ascii="Times New Roman" w:hAnsi="Times New Roman" w:eastAsia="仿宋_GB2312" w:cs="Times New Roman"/>
          <w:i w:val="0"/>
          <w:caps w:val="0"/>
          <w:color w:val="333333"/>
          <w:spacing w:val="0"/>
          <w:sz w:val="32"/>
          <w:szCs w:val="32"/>
          <w:shd w:val="clear" w:fill="FFFFFF"/>
        </w:rPr>
      </w:pPr>
      <w:r>
        <w:rPr>
          <w:rFonts w:hint="default" w:ascii="Times New Roman" w:hAnsi="Times New Roman" w:eastAsia="仿宋_GB2312" w:cs="Times New Roman"/>
          <w:color w:val="000000" w:themeColor="text1"/>
          <w:sz w:val="32"/>
          <w:szCs w:val="32"/>
          <w14:textFill>
            <w14:solidFill>
              <w14:schemeClr w14:val="tx1"/>
            </w14:solidFill>
          </w14:textFill>
        </w:rPr>
        <w:t>2019年公务用车购置及运行维护费为1059.46万元，较上年1088.02万元,减少28.56万元，下降2.62%(其中：公务用车购置费33.00万元，较上年42.06万元，减少9.06万元，下降21.54%，公务用车运行维护费1026.46万元，较上年1045.96万元,减少19.50万元，下降1.86%)。其中公务用车购置数7辆，年末公务用车保有量374辆。</w:t>
      </w:r>
    </w:p>
    <w:p>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60" w:lineRule="atLeast"/>
        <w:ind w:left="0" w:leftChars="0" w:right="0" w:rightChars="0" w:firstLine="640" w:firstLineChars="200"/>
        <w:jc w:val="both"/>
        <w:textAlignment w:val="auto"/>
        <w:rPr>
          <w:rFonts w:hint="eastAsia" w:ascii="宋体" w:hAnsi="宋体" w:eastAsia="宋体" w:cs="宋体"/>
          <w:i w:val="0"/>
          <w:caps w:val="0"/>
          <w:color w:val="333333"/>
          <w:spacing w:val="0"/>
          <w:sz w:val="28"/>
          <w:szCs w:val="28"/>
          <w:shd w:val="clear" w:fill="FFFFFF"/>
        </w:rPr>
      </w:pPr>
      <w:r>
        <w:rPr>
          <w:rFonts w:hint="default" w:ascii="Times New Roman" w:hAnsi="Times New Roman" w:eastAsia="仿宋_GB2312" w:cs="Times New Roman"/>
          <w:i w:val="0"/>
          <w:caps w:val="0"/>
          <w:color w:val="333333"/>
          <w:spacing w:val="0"/>
          <w:sz w:val="32"/>
          <w:szCs w:val="32"/>
          <w:shd w:val="clear" w:fill="FFFFFF"/>
        </w:rPr>
        <w:t>景洪市</w:t>
      </w:r>
      <w:r>
        <w:rPr>
          <w:rFonts w:hint="default" w:ascii="Times New Roman" w:hAnsi="Times New Roman" w:eastAsia="仿宋_GB2312" w:cs="Times New Roman"/>
          <w:sz w:val="32"/>
          <w:szCs w:val="32"/>
        </w:rPr>
        <w:t>认真落实《党政机关厉行节约反对浪费条例》，切实从源头控制“三公”经费，细化“三公”经费预算管理，继续按照“零增长”的原则编制“三公”经费预算，实现全市2012年至201</w:t>
      </w:r>
      <w:r>
        <w:rPr>
          <w:rFonts w:hint="default"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年“三公”经费预算逐年压缩。同时，市财政局结合党委、政府办公用房整治、厉行节约条例、公务用车改革等改革推进，出台了会议费管理办法、接待费管理办法、因公出国（境）管理、公用车改革配套文件等制度建设，进一步加强和规范预算执行管理，采取有力措施硬化预算约束，要求各市级部门认真落实“三公”经费管理规定，严格执行公务接待范围和标准，控制陪餐人数，严格控制因公出国（境）团组数和规模，规范公务用车管理使用。在做好预算管理这一源头上严格管控的基础上，大力推进“三公”经费管理的长效机制建设。要求各部门每季度定期统计报送厉行节约指标统计表，做好相关数据收集和分析工作，及时掌握“三公经费”动态，确保“三公经费”只减不增。</w:t>
      </w:r>
    </w:p>
    <w:p>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05" w:beforeAutospacing="0" w:after="105" w:afterAutospacing="0" w:line="600" w:lineRule="atLeast"/>
        <w:ind w:left="0" w:leftChars="0" w:right="0" w:rightChars="0" w:firstLine="560" w:firstLineChars="200"/>
        <w:jc w:val="left"/>
        <w:textAlignment w:val="auto"/>
        <w:outlineLvl w:val="9"/>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shd w:val="clear" w:fill="FFFFFF"/>
        </w:rPr>
        <w:t>附件：1.景洪市本级</w:t>
      </w:r>
      <w:r>
        <w:rPr>
          <w:rFonts w:hint="eastAsia" w:ascii="宋体" w:hAnsi="宋体" w:eastAsia="宋体" w:cs="宋体"/>
          <w:i w:val="0"/>
          <w:caps w:val="0"/>
          <w:color w:val="333333"/>
          <w:spacing w:val="0"/>
          <w:sz w:val="28"/>
          <w:szCs w:val="28"/>
          <w:shd w:val="clear" w:fill="FFFFFF"/>
          <w:lang w:val="en-US" w:eastAsia="zh-CN"/>
        </w:rPr>
        <w:t>2019</w:t>
      </w:r>
      <w:r>
        <w:rPr>
          <w:rFonts w:hint="eastAsia" w:ascii="宋体" w:hAnsi="宋体" w:eastAsia="宋体" w:cs="宋体"/>
          <w:i w:val="0"/>
          <w:caps w:val="0"/>
          <w:color w:val="333333"/>
          <w:spacing w:val="0"/>
          <w:sz w:val="28"/>
          <w:szCs w:val="28"/>
          <w:shd w:val="clear" w:fill="FFFFFF"/>
        </w:rPr>
        <w:t>年“三公”经费决算汇总表</w:t>
      </w:r>
    </w:p>
    <w:p>
      <w:pPr>
        <w:pStyle w:val="5"/>
        <w:keepNext w:val="0"/>
        <w:keepLines w:val="0"/>
        <w:widowControl/>
        <w:suppressLineNumbers w:val="0"/>
        <w:shd w:val="clear" w:fill="FFFFFF"/>
        <w:spacing w:before="105" w:beforeAutospacing="0" w:after="105" w:afterAutospacing="0" w:line="600" w:lineRule="atLeast"/>
        <w:ind w:right="0" w:firstLine="1400" w:firstLineChars="500"/>
        <w:jc w:val="left"/>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shd w:val="clear" w:fill="FFFFFF"/>
        </w:rPr>
        <w:t>2.景洪市本级</w:t>
      </w:r>
      <w:r>
        <w:rPr>
          <w:rFonts w:hint="eastAsia" w:ascii="宋体" w:hAnsi="宋体" w:eastAsia="宋体" w:cs="宋体"/>
          <w:i w:val="0"/>
          <w:caps w:val="0"/>
          <w:color w:val="333333"/>
          <w:spacing w:val="0"/>
          <w:sz w:val="28"/>
          <w:szCs w:val="28"/>
          <w:shd w:val="clear" w:fill="FFFFFF"/>
          <w:lang w:val="en-US" w:eastAsia="zh-CN"/>
        </w:rPr>
        <w:t>2019</w:t>
      </w:r>
      <w:r>
        <w:rPr>
          <w:rFonts w:hint="eastAsia" w:ascii="宋体" w:hAnsi="宋体" w:eastAsia="宋体" w:cs="宋体"/>
          <w:i w:val="0"/>
          <w:caps w:val="0"/>
          <w:color w:val="333333"/>
          <w:spacing w:val="0"/>
          <w:sz w:val="28"/>
          <w:szCs w:val="28"/>
          <w:shd w:val="clear" w:fill="FFFFFF"/>
        </w:rPr>
        <w:t>年“三公”经费同口径决算数对比情况表</w:t>
      </w:r>
    </w:p>
    <w:p>
      <w:pPr>
        <w:pStyle w:val="5"/>
        <w:keepNext w:val="0"/>
        <w:keepLines w:val="0"/>
        <w:widowControl/>
        <w:suppressLineNumbers w:val="0"/>
        <w:shd w:val="clear" w:fill="FFFFFF"/>
        <w:spacing w:before="105" w:beforeAutospacing="0" w:after="105" w:afterAutospacing="0" w:line="240" w:lineRule="auto"/>
        <w:ind w:right="0" w:firstLine="1400" w:firstLineChars="500"/>
        <w:jc w:val="left"/>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shd w:val="clear" w:fill="FFFFFF"/>
        </w:rPr>
        <w:t>3.景洪市“三公”经费口径说明</w:t>
      </w:r>
    </w:p>
    <w:p>
      <w:pPr>
        <w:rPr>
          <w:rFonts w:hint="eastAsia" w:ascii="黑体" w:hAnsi="黑体" w:eastAsia="黑体" w:cs="宋体"/>
          <w:color w:val="333333"/>
          <w:kern w:val="0"/>
          <w:sz w:val="30"/>
          <w:szCs w:val="30"/>
        </w:rPr>
      </w:pPr>
    </w:p>
    <w:p>
      <w:pPr>
        <w:rPr>
          <w:rFonts w:hint="eastAsia"/>
        </w:rPr>
      </w:pPr>
      <w:r>
        <w:rPr>
          <w:rFonts w:hint="eastAsia" w:ascii="黑体" w:hAnsi="黑体" w:eastAsia="黑体" w:cs="宋体"/>
          <w:color w:val="333333"/>
          <w:kern w:val="0"/>
          <w:sz w:val="30"/>
          <w:szCs w:val="30"/>
        </w:rPr>
        <w:t>附件1</w:t>
      </w:r>
      <w:r>
        <w:rPr>
          <w:rFonts w:hint="eastAsia" w:ascii="黑体" w:hAnsi="黑体" w:eastAsia="黑体" w:cs="宋体"/>
          <w:color w:val="333333"/>
          <w:kern w:val="0"/>
          <w:sz w:val="30"/>
          <w:szCs w:val="30"/>
          <w:lang w:val="en-US" w:eastAsia="zh-CN"/>
        </w:rPr>
        <w:t xml:space="preserve">   </w:t>
      </w:r>
      <w:r>
        <w:rPr>
          <w:rFonts w:hint="eastAsia" w:ascii="黑体" w:hAnsi="黑体" w:eastAsia="黑体" w:cs="宋体"/>
          <w:color w:val="333333"/>
          <w:kern w:val="0"/>
          <w:sz w:val="30"/>
          <w:szCs w:val="30"/>
        </w:rPr>
        <w:t>景洪市2019年“三公”经费决算汇总表</w:t>
      </w:r>
    </w:p>
    <w:p>
      <w:pPr>
        <w:widowControl/>
        <w:shd w:val="clear" w:color="auto" w:fill="FFFFFF"/>
        <w:spacing w:after="150" w:line="480" w:lineRule="atLeast"/>
        <w:ind w:firstLine="6000" w:firstLineChars="2500"/>
        <w:jc w:val="left"/>
        <w:rPr>
          <w:rFonts w:ascii="Verdana" w:hAnsi="Verdana" w:cs="宋体"/>
          <w:color w:val="333333"/>
          <w:kern w:val="0"/>
          <w:sz w:val="24"/>
          <w:szCs w:val="24"/>
        </w:rPr>
      </w:pPr>
      <w:r>
        <w:rPr>
          <w:rFonts w:hint="eastAsia" w:ascii="黑体" w:hAnsi="黑体" w:eastAsia="黑体" w:cs="宋体"/>
          <w:color w:val="333333"/>
          <w:kern w:val="0"/>
          <w:sz w:val="24"/>
          <w:szCs w:val="24"/>
        </w:rPr>
        <w:t>单位：万元</w:t>
      </w:r>
    </w:p>
    <w:tbl>
      <w:tblPr>
        <w:tblStyle w:val="6"/>
        <w:tblW w:w="6938" w:type="dxa"/>
        <w:tblInd w:w="279" w:type="dxa"/>
        <w:tblLayout w:type="fixed"/>
        <w:tblCellMar>
          <w:top w:w="15" w:type="dxa"/>
          <w:left w:w="15" w:type="dxa"/>
          <w:bottom w:w="15" w:type="dxa"/>
          <w:right w:w="15" w:type="dxa"/>
        </w:tblCellMar>
      </w:tblPr>
      <w:tblGrid>
        <w:gridCol w:w="4965"/>
        <w:gridCol w:w="1973"/>
      </w:tblGrid>
      <w:tr>
        <w:tblPrEx>
          <w:tblLayout w:type="fixed"/>
          <w:tblCellMar>
            <w:top w:w="15" w:type="dxa"/>
            <w:left w:w="15" w:type="dxa"/>
            <w:bottom w:w="15" w:type="dxa"/>
            <w:right w:w="15" w:type="dxa"/>
          </w:tblCellMar>
        </w:tblPrEx>
        <w:trPr>
          <w:trHeight w:val="630" w:hRule="atLeast"/>
        </w:trPr>
        <w:tc>
          <w:tcPr>
            <w:tcW w:w="496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after="150" w:line="432" w:lineRule="atLeast"/>
              <w:jc w:val="center"/>
              <w:rPr>
                <w:rFonts w:ascii="宋体" w:hAnsi="宋体"/>
                <w:color w:val="333333"/>
                <w:kern w:val="0"/>
                <w:sz w:val="24"/>
                <w:szCs w:val="24"/>
              </w:rPr>
            </w:pPr>
            <w:r>
              <w:rPr>
                <w:rFonts w:hint="eastAsia" w:ascii="黑体" w:hAnsi="黑体" w:eastAsia="黑体" w:cs="宋体"/>
                <w:color w:val="000000"/>
                <w:kern w:val="0"/>
              </w:rPr>
              <w:t>项</w:t>
            </w:r>
            <w:r>
              <w:rPr>
                <w:rFonts w:hint="eastAsia" w:ascii="宋体" w:hAnsi="宋体"/>
                <w:color w:val="000000"/>
                <w:kern w:val="0"/>
              </w:rPr>
              <w:t xml:space="preserve">  </w:t>
            </w:r>
            <w:r>
              <w:rPr>
                <w:rFonts w:hint="eastAsia" w:ascii="黑体" w:hAnsi="黑体" w:eastAsia="黑体" w:cs="宋体"/>
                <w:color w:val="000000"/>
                <w:kern w:val="0"/>
              </w:rPr>
              <w:t>目</w:t>
            </w:r>
          </w:p>
        </w:tc>
        <w:tc>
          <w:tcPr>
            <w:tcW w:w="197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after="150" w:line="432" w:lineRule="atLeast"/>
              <w:jc w:val="center"/>
              <w:rPr>
                <w:rFonts w:ascii="宋体" w:hAnsi="宋体"/>
                <w:color w:val="333333"/>
                <w:kern w:val="0"/>
                <w:sz w:val="24"/>
                <w:szCs w:val="24"/>
              </w:rPr>
            </w:pPr>
            <w:r>
              <w:rPr>
                <w:rFonts w:hint="eastAsia" w:ascii="黑体" w:hAnsi="黑体" w:eastAsia="黑体" w:cs="宋体"/>
                <w:color w:val="000000"/>
                <w:kern w:val="0"/>
              </w:rPr>
              <w:t>2019年“三公”经费</w:t>
            </w:r>
          </w:p>
        </w:tc>
      </w:tr>
      <w:tr>
        <w:tblPrEx>
          <w:tblLayout w:type="fixed"/>
          <w:tblCellMar>
            <w:top w:w="15" w:type="dxa"/>
            <w:left w:w="15" w:type="dxa"/>
            <w:bottom w:w="15" w:type="dxa"/>
            <w:right w:w="15" w:type="dxa"/>
          </w:tblCellMar>
        </w:tblPrEx>
        <w:trPr>
          <w:trHeight w:val="630" w:hRule="atLeast"/>
        </w:trPr>
        <w:tc>
          <w:tcPr>
            <w:tcW w:w="496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after="150" w:line="432" w:lineRule="atLeast"/>
              <w:jc w:val="center"/>
              <w:rPr>
                <w:rFonts w:ascii="宋体" w:hAnsi="宋体"/>
                <w:color w:val="333333"/>
                <w:kern w:val="0"/>
                <w:sz w:val="24"/>
                <w:szCs w:val="24"/>
              </w:rPr>
            </w:pPr>
            <w:r>
              <w:rPr>
                <w:rFonts w:hint="eastAsia" w:ascii="黑体" w:hAnsi="黑体" w:eastAsia="黑体" w:cs="宋体"/>
                <w:color w:val="000000"/>
                <w:kern w:val="0"/>
              </w:rPr>
              <w:t>合</w:t>
            </w:r>
            <w:r>
              <w:rPr>
                <w:rFonts w:hint="eastAsia" w:ascii="宋体" w:hAnsi="宋体"/>
                <w:color w:val="000000"/>
                <w:kern w:val="0"/>
              </w:rPr>
              <w:t xml:space="preserve">  </w:t>
            </w:r>
            <w:r>
              <w:rPr>
                <w:rFonts w:hint="eastAsia" w:ascii="黑体" w:hAnsi="黑体" w:eastAsia="黑体" w:cs="宋体"/>
                <w:color w:val="000000"/>
                <w:kern w:val="0"/>
              </w:rPr>
              <w:t>计</w:t>
            </w:r>
          </w:p>
        </w:tc>
        <w:tc>
          <w:tcPr>
            <w:tcW w:w="197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after="150" w:line="432" w:lineRule="atLeast"/>
              <w:jc w:val="left"/>
              <w:rPr>
                <w:rFonts w:ascii="宋体" w:hAnsi="宋体"/>
                <w:color w:val="333333"/>
                <w:kern w:val="0"/>
                <w:sz w:val="24"/>
                <w:szCs w:val="24"/>
              </w:rPr>
            </w:pPr>
            <w:r>
              <w:rPr>
                <w:rFonts w:ascii="宋体" w:hAnsi="宋体"/>
                <w:color w:val="333333"/>
                <w:kern w:val="0"/>
                <w:sz w:val="24"/>
                <w:szCs w:val="24"/>
              </w:rPr>
              <w:t>1291.50</w:t>
            </w:r>
          </w:p>
        </w:tc>
      </w:tr>
      <w:tr>
        <w:tblPrEx>
          <w:tblLayout w:type="fixed"/>
          <w:tblCellMar>
            <w:top w:w="15" w:type="dxa"/>
            <w:left w:w="15" w:type="dxa"/>
            <w:bottom w:w="15" w:type="dxa"/>
            <w:right w:w="15" w:type="dxa"/>
          </w:tblCellMar>
        </w:tblPrEx>
        <w:trPr>
          <w:trHeight w:val="630" w:hRule="atLeast"/>
        </w:trPr>
        <w:tc>
          <w:tcPr>
            <w:tcW w:w="4965" w:type="dxa"/>
            <w:tcBorders>
              <w:top w:val="single" w:color="auto" w:sz="4" w:space="0"/>
              <w:left w:val="single" w:color="auto" w:sz="8" w:space="0"/>
              <w:bottom w:val="single" w:color="auto" w:sz="8" w:space="0"/>
              <w:right w:val="single" w:color="auto" w:sz="8" w:space="0"/>
            </w:tcBorders>
            <w:shd w:val="clear" w:color="auto" w:fill="FFFFFF"/>
            <w:vAlign w:val="center"/>
          </w:tcPr>
          <w:p>
            <w:pPr>
              <w:widowControl/>
              <w:spacing w:after="150" w:line="432" w:lineRule="atLeast"/>
              <w:jc w:val="left"/>
              <w:rPr>
                <w:rFonts w:ascii="宋体" w:hAnsi="宋体"/>
                <w:color w:val="333333"/>
                <w:kern w:val="0"/>
                <w:sz w:val="24"/>
                <w:szCs w:val="24"/>
              </w:rPr>
            </w:pPr>
            <w:r>
              <w:rPr>
                <w:rFonts w:hint="eastAsia" w:ascii="宋体" w:hAnsi="宋体"/>
                <w:color w:val="000000"/>
                <w:kern w:val="0"/>
              </w:rPr>
              <w:t xml:space="preserve">      </w:t>
            </w:r>
            <w:r>
              <w:rPr>
                <w:rFonts w:hint="eastAsia" w:ascii="黑体" w:hAnsi="黑体" w:eastAsia="黑体" w:cs="宋体"/>
                <w:color w:val="000000"/>
                <w:kern w:val="0"/>
              </w:rPr>
              <w:t>1.因公出国（境）费</w:t>
            </w:r>
          </w:p>
        </w:tc>
        <w:tc>
          <w:tcPr>
            <w:tcW w:w="1973" w:type="dxa"/>
            <w:tcBorders>
              <w:top w:val="single" w:color="auto" w:sz="4" w:space="0"/>
              <w:left w:val="nil"/>
              <w:bottom w:val="single" w:color="auto" w:sz="8" w:space="0"/>
              <w:right w:val="single" w:color="auto" w:sz="8" w:space="0"/>
            </w:tcBorders>
            <w:shd w:val="clear" w:color="auto" w:fill="FFFFFF"/>
            <w:vAlign w:val="top"/>
          </w:tcPr>
          <w:p>
            <w:pPr>
              <w:widowControl/>
              <w:spacing w:after="150" w:line="432" w:lineRule="atLeast"/>
              <w:jc w:val="left"/>
              <w:rPr>
                <w:rFonts w:ascii="宋体" w:hAnsi="宋体"/>
                <w:color w:val="333333"/>
                <w:kern w:val="0"/>
                <w:sz w:val="24"/>
                <w:szCs w:val="24"/>
              </w:rPr>
            </w:pPr>
            <w:r>
              <w:rPr>
                <w:rFonts w:ascii="宋体" w:hAnsi="宋体"/>
                <w:color w:val="333333"/>
                <w:kern w:val="0"/>
                <w:sz w:val="24"/>
                <w:szCs w:val="24"/>
              </w:rPr>
              <w:t>49.93</w:t>
            </w:r>
          </w:p>
        </w:tc>
      </w:tr>
      <w:tr>
        <w:tblPrEx>
          <w:tblLayout w:type="fixed"/>
          <w:tblCellMar>
            <w:top w:w="15" w:type="dxa"/>
            <w:left w:w="15" w:type="dxa"/>
            <w:bottom w:w="15" w:type="dxa"/>
            <w:right w:w="15" w:type="dxa"/>
          </w:tblCellMar>
        </w:tblPrEx>
        <w:trPr>
          <w:trHeight w:val="630" w:hRule="atLeast"/>
        </w:trPr>
        <w:tc>
          <w:tcPr>
            <w:tcW w:w="4965" w:type="dxa"/>
            <w:tcBorders>
              <w:top w:val="nil"/>
              <w:left w:val="single" w:color="auto" w:sz="8" w:space="0"/>
              <w:bottom w:val="single" w:color="auto" w:sz="8" w:space="0"/>
              <w:right w:val="single" w:color="auto" w:sz="8" w:space="0"/>
            </w:tcBorders>
            <w:shd w:val="clear" w:color="auto" w:fill="FFFFFF"/>
            <w:vAlign w:val="center"/>
          </w:tcPr>
          <w:p>
            <w:pPr>
              <w:widowControl/>
              <w:spacing w:after="150" w:line="432" w:lineRule="atLeast"/>
              <w:jc w:val="left"/>
              <w:rPr>
                <w:rFonts w:ascii="宋体" w:hAnsi="宋体"/>
                <w:color w:val="333333"/>
                <w:kern w:val="0"/>
                <w:sz w:val="24"/>
                <w:szCs w:val="24"/>
              </w:rPr>
            </w:pPr>
            <w:r>
              <w:rPr>
                <w:rFonts w:hint="eastAsia" w:ascii="宋体" w:hAnsi="宋体"/>
                <w:color w:val="000000"/>
                <w:kern w:val="0"/>
              </w:rPr>
              <w:t xml:space="preserve">      </w:t>
            </w:r>
            <w:r>
              <w:rPr>
                <w:rFonts w:hint="eastAsia" w:ascii="黑体" w:hAnsi="黑体" w:eastAsia="黑体" w:cs="宋体"/>
                <w:color w:val="000000"/>
                <w:kern w:val="0"/>
              </w:rPr>
              <w:t>2.公务接待费</w:t>
            </w:r>
          </w:p>
        </w:tc>
        <w:tc>
          <w:tcPr>
            <w:tcW w:w="1973" w:type="dxa"/>
            <w:tcBorders>
              <w:top w:val="nil"/>
              <w:left w:val="nil"/>
              <w:bottom w:val="single" w:color="auto" w:sz="8" w:space="0"/>
              <w:right w:val="single" w:color="auto" w:sz="8" w:space="0"/>
            </w:tcBorders>
            <w:shd w:val="clear" w:color="auto" w:fill="FFFFFF"/>
            <w:vAlign w:val="top"/>
          </w:tcPr>
          <w:p>
            <w:pPr>
              <w:widowControl/>
              <w:spacing w:after="150" w:line="432" w:lineRule="atLeast"/>
              <w:jc w:val="left"/>
              <w:rPr>
                <w:rFonts w:ascii="宋体" w:hAnsi="宋体"/>
                <w:color w:val="333333"/>
                <w:kern w:val="0"/>
                <w:sz w:val="24"/>
                <w:szCs w:val="24"/>
              </w:rPr>
            </w:pPr>
            <w:r>
              <w:rPr>
                <w:rFonts w:ascii="宋体" w:hAnsi="宋体"/>
                <w:color w:val="333333"/>
                <w:kern w:val="0"/>
                <w:sz w:val="24"/>
                <w:szCs w:val="24"/>
              </w:rPr>
              <w:t>182.11</w:t>
            </w:r>
          </w:p>
        </w:tc>
      </w:tr>
      <w:tr>
        <w:tblPrEx>
          <w:tblLayout w:type="fixed"/>
          <w:tblCellMar>
            <w:top w:w="15" w:type="dxa"/>
            <w:left w:w="15" w:type="dxa"/>
            <w:bottom w:w="15" w:type="dxa"/>
            <w:right w:w="15" w:type="dxa"/>
          </w:tblCellMar>
        </w:tblPrEx>
        <w:trPr>
          <w:trHeight w:val="630" w:hRule="atLeast"/>
        </w:trPr>
        <w:tc>
          <w:tcPr>
            <w:tcW w:w="4965" w:type="dxa"/>
            <w:tcBorders>
              <w:top w:val="nil"/>
              <w:left w:val="single" w:color="auto" w:sz="8" w:space="0"/>
              <w:bottom w:val="single" w:color="auto" w:sz="8" w:space="0"/>
              <w:right w:val="single" w:color="auto" w:sz="8" w:space="0"/>
            </w:tcBorders>
            <w:shd w:val="clear" w:color="auto" w:fill="FFFFFF"/>
            <w:vAlign w:val="center"/>
          </w:tcPr>
          <w:p>
            <w:pPr>
              <w:widowControl/>
              <w:spacing w:after="150" w:line="432" w:lineRule="atLeast"/>
              <w:jc w:val="left"/>
              <w:rPr>
                <w:rFonts w:ascii="宋体" w:hAnsi="宋体"/>
                <w:color w:val="333333"/>
                <w:kern w:val="0"/>
                <w:sz w:val="24"/>
                <w:szCs w:val="24"/>
              </w:rPr>
            </w:pPr>
            <w:r>
              <w:rPr>
                <w:rFonts w:hint="eastAsia" w:ascii="宋体" w:hAnsi="宋体"/>
                <w:color w:val="000000"/>
                <w:kern w:val="0"/>
              </w:rPr>
              <w:t xml:space="preserve">      </w:t>
            </w:r>
            <w:r>
              <w:rPr>
                <w:rFonts w:hint="eastAsia" w:ascii="黑体" w:hAnsi="黑体" w:eastAsia="黑体" w:cs="宋体"/>
                <w:color w:val="000000"/>
                <w:kern w:val="0"/>
              </w:rPr>
              <w:t>3.公务用车费</w:t>
            </w:r>
          </w:p>
        </w:tc>
        <w:tc>
          <w:tcPr>
            <w:tcW w:w="1973" w:type="dxa"/>
            <w:tcBorders>
              <w:top w:val="nil"/>
              <w:left w:val="nil"/>
              <w:bottom w:val="single" w:color="auto" w:sz="8" w:space="0"/>
              <w:right w:val="single" w:color="auto" w:sz="8" w:space="0"/>
            </w:tcBorders>
            <w:shd w:val="clear" w:color="auto" w:fill="FFFFFF"/>
            <w:vAlign w:val="top"/>
          </w:tcPr>
          <w:p>
            <w:pPr>
              <w:widowControl/>
              <w:spacing w:after="150" w:line="432" w:lineRule="atLeast"/>
              <w:jc w:val="left"/>
              <w:rPr>
                <w:rFonts w:ascii="宋体" w:hAnsi="宋体"/>
                <w:color w:val="333333"/>
                <w:kern w:val="0"/>
                <w:sz w:val="24"/>
                <w:szCs w:val="24"/>
              </w:rPr>
            </w:pPr>
            <w:r>
              <w:rPr>
                <w:rFonts w:hint="eastAsia" w:ascii="宋体" w:hAnsi="宋体"/>
                <w:color w:val="333333"/>
                <w:kern w:val="0"/>
                <w:sz w:val="24"/>
                <w:szCs w:val="24"/>
              </w:rPr>
              <w:t>1059.46</w:t>
            </w:r>
          </w:p>
        </w:tc>
      </w:tr>
      <w:tr>
        <w:tblPrEx>
          <w:tblLayout w:type="fixed"/>
          <w:tblCellMar>
            <w:top w:w="15" w:type="dxa"/>
            <w:left w:w="15" w:type="dxa"/>
            <w:bottom w:w="15" w:type="dxa"/>
            <w:right w:w="15" w:type="dxa"/>
          </w:tblCellMar>
        </w:tblPrEx>
        <w:trPr>
          <w:trHeight w:val="630" w:hRule="atLeast"/>
        </w:trPr>
        <w:tc>
          <w:tcPr>
            <w:tcW w:w="4965" w:type="dxa"/>
            <w:tcBorders>
              <w:top w:val="nil"/>
              <w:left w:val="single" w:color="auto" w:sz="8" w:space="0"/>
              <w:bottom w:val="single" w:color="auto" w:sz="8" w:space="0"/>
              <w:right w:val="single" w:color="auto" w:sz="8" w:space="0"/>
            </w:tcBorders>
            <w:shd w:val="clear" w:color="auto" w:fill="FFFFFF"/>
            <w:vAlign w:val="center"/>
          </w:tcPr>
          <w:p>
            <w:pPr>
              <w:widowControl/>
              <w:spacing w:after="150" w:line="432" w:lineRule="atLeast"/>
              <w:jc w:val="left"/>
              <w:rPr>
                <w:rFonts w:ascii="宋体" w:hAnsi="宋体"/>
                <w:color w:val="333333"/>
                <w:kern w:val="0"/>
                <w:sz w:val="24"/>
                <w:szCs w:val="24"/>
              </w:rPr>
            </w:pPr>
            <w:r>
              <w:rPr>
                <w:rFonts w:hint="eastAsia" w:ascii="宋体" w:hAnsi="宋体"/>
                <w:color w:val="000000"/>
                <w:kern w:val="0"/>
              </w:rPr>
              <w:t xml:space="preserve">         </w:t>
            </w:r>
            <w:r>
              <w:rPr>
                <w:rFonts w:hint="eastAsia" w:ascii="黑体" w:hAnsi="黑体" w:eastAsia="黑体" w:cs="宋体"/>
                <w:color w:val="000000"/>
                <w:kern w:val="0"/>
              </w:rPr>
              <w:t>其中：（1）公务用车购置</w:t>
            </w:r>
          </w:p>
        </w:tc>
        <w:tc>
          <w:tcPr>
            <w:tcW w:w="1973" w:type="dxa"/>
            <w:tcBorders>
              <w:top w:val="nil"/>
              <w:left w:val="nil"/>
              <w:bottom w:val="single" w:color="auto" w:sz="8" w:space="0"/>
              <w:right w:val="single" w:color="auto" w:sz="8" w:space="0"/>
            </w:tcBorders>
            <w:shd w:val="clear" w:color="auto" w:fill="FFFFFF"/>
            <w:vAlign w:val="top"/>
          </w:tcPr>
          <w:p>
            <w:pPr>
              <w:widowControl/>
              <w:spacing w:after="150" w:line="432" w:lineRule="atLeast"/>
              <w:jc w:val="left"/>
              <w:rPr>
                <w:rFonts w:ascii="宋体" w:hAnsi="宋体"/>
                <w:color w:val="333333"/>
                <w:kern w:val="0"/>
                <w:sz w:val="24"/>
                <w:szCs w:val="24"/>
              </w:rPr>
            </w:pPr>
            <w:r>
              <w:rPr>
                <w:rFonts w:hint="eastAsia" w:ascii="宋体" w:hAnsi="宋体"/>
                <w:color w:val="333333"/>
                <w:kern w:val="0"/>
                <w:sz w:val="24"/>
                <w:szCs w:val="24"/>
              </w:rPr>
              <w:t>33.00</w:t>
            </w:r>
          </w:p>
        </w:tc>
      </w:tr>
      <w:tr>
        <w:tblPrEx>
          <w:tblLayout w:type="fixed"/>
          <w:tblCellMar>
            <w:top w:w="15" w:type="dxa"/>
            <w:left w:w="15" w:type="dxa"/>
            <w:bottom w:w="15" w:type="dxa"/>
            <w:right w:w="15" w:type="dxa"/>
          </w:tblCellMar>
        </w:tblPrEx>
        <w:trPr>
          <w:trHeight w:val="630" w:hRule="atLeast"/>
        </w:trPr>
        <w:tc>
          <w:tcPr>
            <w:tcW w:w="4965" w:type="dxa"/>
            <w:tcBorders>
              <w:top w:val="nil"/>
              <w:left w:val="single" w:color="auto" w:sz="8" w:space="0"/>
              <w:bottom w:val="single" w:color="auto" w:sz="8" w:space="0"/>
              <w:right w:val="single" w:color="auto" w:sz="8" w:space="0"/>
            </w:tcBorders>
            <w:shd w:val="clear" w:color="auto" w:fill="FFFFFF"/>
            <w:vAlign w:val="center"/>
          </w:tcPr>
          <w:p>
            <w:pPr>
              <w:widowControl/>
              <w:spacing w:after="150" w:line="432" w:lineRule="atLeast"/>
              <w:jc w:val="left"/>
              <w:rPr>
                <w:rFonts w:ascii="宋体" w:hAnsi="宋体"/>
                <w:color w:val="333333"/>
                <w:kern w:val="0"/>
                <w:sz w:val="24"/>
                <w:szCs w:val="24"/>
              </w:rPr>
            </w:pPr>
            <w:r>
              <w:rPr>
                <w:rFonts w:hint="eastAsia" w:ascii="宋体" w:hAnsi="宋体"/>
                <w:color w:val="000000"/>
                <w:kern w:val="0"/>
              </w:rPr>
              <w:t xml:space="preserve">            </w:t>
            </w:r>
            <w:r>
              <w:rPr>
                <w:rFonts w:hint="eastAsia" w:ascii="黑体" w:hAnsi="黑体" w:eastAsia="黑体" w:cs="宋体"/>
                <w:color w:val="000000"/>
                <w:kern w:val="0"/>
              </w:rPr>
              <w:t>（2）公务用车运行维护费</w:t>
            </w:r>
          </w:p>
        </w:tc>
        <w:tc>
          <w:tcPr>
            <w:tcW w:w="1973" w:type="dxa"/>
            <w:tcBorders>
              <w:top w:val="nil"/>
              <w:left w:val="nil"/>
              <w:bottom w:val="single" w:color="auto" w:sz="8" w:space="0"/>
              <w:right w:val="single" w:color="auto" w:sz="8" w:space="0"/>
            </w:tcBorders>
            <w:shd w:val="clear" w:color="auto" w:fill="FFFFFF"/>
            <w:vAlign w:val="top"/>
          </w:tcPr>
          <w:p>
            <w:pPr>
              <w:widowControl/>
              <w:spacing w:after="150" w:line="432" w:lineRule="atLeast"/>
              <w:jc w:val="left"/>
              <w:rPr>
                <w:rFonts w:ascii="宋体" w:hAnsi="宋体"/>
                <w:color w:val="333333"/>
                <w:kern w:val="0"/>
                <w:sz w:val="24"/>
                <w:szCs w:val="24"/>
              </w:rPr>
            </w:pPr>
            <w:r>
              <w:rPr>
                <w:rFonts w:ascii="宋体" w:hAnsi="宋体"/>
                <w:color w:val="333333"/>
                <w:kern w:val="0"/>
                <w:sz w:val="24"/>
                <w:szCs w:val="24"/>
              </w:rPr>
              <w:t>1026.46</w:t>
            </w:r>
          </w:p>
        </w:tc>
      </w:tr>
      <w:tr>
        <w:tblPrEx>
          <w:tblLayout w:type="fixed"/>
          <w:tblCellMar>
            <w:top w:w="15" w:type="dxa"/>
            <w:left w:w="15" w:type="dxa"/>
            <w:bottom w:w="15" w:type="dxa"/>
            <w:right w:w="15" w:type="dxa"/>
          </w:tblCellMar>
        </w:tblPrEx>
        <w:trPr>
          <w:trHeight w:val="630" w:hRule="atLeast"/>
        </w:trPr>
        <w:tc>
          <w:tcPr>
            <w:tcW w:w="4965" w:type="dxa"/>
            <w:tcBorders>
              <w:top w:val="nil"/>
              <w:left w:val="single" w:color="auto" w:sz="8" w:space="0"/>
              <w:bottom w:val="single" w:color="auto" w:sz="8" w:space="0"/>
              <w:right w:val="single" w:color="auto" w:sz="8" w:space="0"/>
            </w:tcBorders>
            <w:shd w:val="clear" w:color="auto" w:fill="FFFFFF"/>
            <w:vAlign w:val="center"/>
          </w:tcPr>
          <w:p>
            <w:pPr>
              <w:widowControl/>
              <w:spacing w:after="150" w:line="432" w:lineRule="atLeast"/>
              <w:jc w:val="left"/>
              <w:rPr>
                <w:rFonts w:ascii="宋体" w:hAnsi="宋体"/>
                <w:color w:val="333333"/>
                <w:kern w:val="0"/>
                <w:sz w:val="24"/>
                <w:szCs w:val="24"/>
              </w:rPr>
            </w:pPr>
            <w:r>
              <w:rPr>
                <w:rFonts w:hint="eastAsia" w:ascii="宋体" w:hAnsi="宋体"/>
                <w:color w:val="000000"/>
                <w:kern w:val="0"/>
              </w:rPr>
              <w:t xml:space="preserve">       </w:t>
            </w:r>
            <w:r>
              <w:rPr>
                <w:rFonts w:hint="eastAsia" w:ascii="黑体" w:hAnsi="黑体" w:eastAsia="黑体" w:cs="宋体"/>
                <w:color w:val="000000"/>
                <w:kern w:val="0"/>
              </w:rPr>
              <w:t>4.“三公”经费实物量</w:t>
            </w:r>
          </w:p>
        </w:tc>
        <w:tc>
          <w:tcPr>
            <w:tcW w:w="1973" w:type="dxa"/>
            <w:tcBorders>
              <w:top w:val="nil"/>
              <w:left w:val="nil"/>
              <w:bottom w:val="single" w:color="auto" w:sz="8" w:space="0"/>
              <w:right w:val="single" w:color="auto" w:sz="8" w:space="0"/>
            </w:tcBorders>
            <w:shd w:val="clear" w:color="auto" w:fill="FFFFFF"/>
            <w:vAlign w:val="center"/>
          </w:tcPr>
          <w:p>
            <w:pPr>
              <w:widowControl/>
              <w:spacing w:after="150" w:line="432" w:lineRule="atLeast"/>
              <w:jc w:val="left"/>
              <w:rPr>
                <w:rFonts w:ascii="宋体" w:hAnsi="宋体"/>
                <w:color w:val="333333"/>
                <w:kern w:val="0"/>
                <w:sz w:val="24"/>
                <w:szCs w:val="24"/>
              </w:rPr>
            </w:pPr>
            <w:r>
              <w:rPr>
                <w:rFonts w:hint="eastAsia" w:ascii="宋体" w:hAnsi="宋体"/>
                <w:color w:val="333333"/>
                <w:kern w:val="0"/>
                <w:sz w:val="24"/>
                <w:szCs w:val="24"/>
              </w:rPr>
              <w:t> </w:t>
            </w:r>
          </w:p>
        </w:tc>
      </w:tr>
      <w:tr>
        <w:tblPrEx>
          <w:tblLayout w:type="fixed"/>
          <w:tblCellMar>
            <w:top w:w="15" w:type="dxa"/>
            <w:left w:w="15" w:type="dxa"/>
            <w:bottom w:w="15" w:type="dxa"/>
            <w:right w:w="15" w:type="dxa"/>
          </w:tblCellMar>
        </w:tblPrEx>
        <w:trPr>
          <w:trHeight w:val="630" w:hRule="atLeast"/>
        </w:trPr>
        <w:tc>
          <w:tcPr>
            <w:tcW w:w="4965" w:type="dxa"/>
            <w:tcBorders>
              <w:top w:val="nil"/>
              <w:left w:val="single" w:color="auto" w:sz="8" w:space="0"/>
              <w:bottom w:val="single" w:color="auto" w:sz="8" w:space="0"/>
              <w:right w:val="single" w:color="auto" w:sz="8" w:space="0"/>
            </w:tcBorders>
            <w:shd w:val="clear" w:color="auto" w:fill="FFFFFF"/>
            <w:vAlign w:val="center"/>
          </w:tcPr>
          <w:p>
            <w:pPr>
              <w:widowControl/>
              <w:spacing w:after="150" w:line="432" w:lineRule="atLeast"/>
              <w:jc w:val="left"/>
              <w:rPr>
                <w:rFonts w:ascii="宋体" w:hAnsi="宋体"/>
                <w:color w:val="333333"/>
                <w:kern w:val="0"/>
                <w:sz w:val="24"/>
                <w:szCs w:val="24"/>
              </w:rPr>
            </w:pPr>
            <w:r>
              <w:rPr>
                <w:rFonts w:hint="eastAsia" w:ascii="宋体" w:hAnsi="宋体"/>
                <w:color w:val="000000"/>
                <w:kern w:val="0"/>
              </w:rPr>
              <w:t xml:space="preserve">      </w:t>
            </w:r>
            <w:r>
              <w:rPr>
                <w:rFonts w:hint="eastAsia" w:ascii="黑体" w:hAnsi="黑体" w:eastAsia="黑体" w:cs="宋体"/>
                <w:color w:val="000000"/>
                <w:kern w:val="0"/>
              </w:rPr>
              <w:t>（1）因公出国（境）团组数（个）</w:t>
            </w:r>
          </w:p>
        </w:tc>
        <w:tc>
          <w:tcPr>
            <w:tcW w:w="1973" w:type="dxa"/>
            <w:tcBorders>
              <w:top w:val="nil"/>
              <w:left w:val="nil"/>
              <w:bottom w:val="single" w:color="auto" w:sz="8" w:space="0"/>
              <w:right w:val="single" w:color="auto" w:sz="8" w:space="0"/>
            </w:tcBorders>
            <w:shd w:val="clear" w:color="auto" w:fill="FFFFFF"/>
            <w:vAlign w:val="center"/>
          </w:tcPr>
          <w:p>
            <w:pPr>
              <w:widowControl/>
              <w:spacing w:after="150" w:line="432" w:lineRule="atLeast"/>
              <w:jc w:val="left"/>
              <w:rPr>
                <w:rFonts w:ascii="宋体" w:hAnsi="宋体"/>
                <w:color w:val="333333"/>
                <w:kern w:val="0"/>
                <w:sz w:val="24"/>
                <w:szCs w:val="24"/>
              </w:rPr>
            </w:pPr>
            <w:r>
              <w:rPr>
                <w:rFonts w:hint="eastAsia" w:ascii="宋体" w:hAnsi="宋体"/>
                <w:color w:val="333333"/>
                <w:kern w:val="0"/>
                <w:sz w:val="24"/>
                <w:szCs w:val="24"/>
              </w:rPr>
              <w:t>4</w:t>
            </w:r>
          </w:p>
        </w:tc>
      </w:tr>
      <w:tr>
        <w:tblPrEx>
          <w:tblLayout w:type="fixed"/>
          <w:tblCellMar>
            <w:top w:w="15" w:type="dxa"/>
            <w:left w:w="15" w:type="dxa"/>
            <w:bottom w:w="15" w:type="dxa"/>
            <w:right w:w="15" w:type="dxa"/>
          </w:tblCellMar>
        </w:tblPrEx>
        <w:trPr>
          <w:trHeight w:val="630" w:hRule="atLeast"/>
        </w:trPr>
        <w:tc>
          <w:tcPr>
            <w:tcW w:w="4965" w:type="dxa"/>
            <w:tcBorders>
              <w:top w:val="nil"/>
              <w:left w:val="single" w:color="auto" w:sz="8" w:space="0"/>
              <w:bottom w:val="single" w:color="auto" w:sz="8" w:space="0"/>
              <w:right w:val="single" w:color="auto" w:sz="8" w:space="0"/>
            </w:tcBorders>
            <w:shd w:val="clear" w:color="auto" w:fill="FFFFFF"/>
            <w:vAlign w:val="center"/>
          </w:tcPr>
          <w:p>
            <w:pPr>
              <w:widowControl/>
              <w:spacing w:after="150" w:line="432" w:lineRule="atLeast"/>
              <w:jc w:val="left"/>
              <w:rPr>
                <w:rFonts w:ascii="宋体" w:hAnsi="宋体"/>
                <w:color w:val="333333"/>
                <w:kern w:val="0"/>
                <w:sz w:val="24"/>
                <w:szCs w:val="24"/>
              </w:rPr>
            </w:pPr>
            <w:r>
              <w:rPr>
                <w:rFonts w:hint="eastAsia" w:ascii="宋体" w:hAnsi="宋体"/>
                <w:color w:val="000000"/>
                <w:kern w:val="0"/>
              </w:rPr>
              <w:t xml:space="preserve">      </w:t>
            </w:r>
            <w:r>
              <w:rPr>
                <w:rFonts w:hint="eastAsia" w:ascii="黑体" w:hAnsi="黑体" w:eastAsia="黑体" w:cs="宋体"/>
                <w:color w:val="000000"/>
                <w:kern w:val="0"/>
              </w:rPr>
              <w:t>（2）因公出国（境）人次数（人）</w:t>
            </w:r>
          </w:p>
        </w:tc>
        <w:tc>
          <w:tcPr>
            <w:tcW w:w="1973" w:type="dxa"/>
            <w:tcBorders>
              <w:top w:val="nil"/>
              <w:left w:val="nil"/>
              <w:bottom w:val="single" w:color="auto" w:sz="8" w:space="0"/>
              <w:right w:val="single" w:color="auto" w:sz="8" w:space="0"/>
            </w:tcBorders>
            <w:shd w:val="clear" w:color="auto" w:fill="FFFFFF"/>
            <w:vAlign w:val="center"/>
          </w:tcPr>
          <w:p>
            <w:pPr>
              <w:widowControl/>
              <w:spacing w:after="150" w:line="432" w:lineRule="atLeast"/>
              <w:jc w:val="left"/>
              <w:rPr>
                <w:rFonts w:ascii="宋体" w:hAnsi="宋体"/>
                <w:color w:val="333333"/>
                <w:kern w:val="0"/>
                <w:sz w:val="24"/>
                <w:szCs w:val="24"/>
              </w:rPr>
            </w:pPr>
            <w:r>
              <w:rPr>
                <w:rFonts w:hint="eastAsia" w:ascii="宋体" w:hAnsi="宋体"/>
                <w:color w:val="333333"/>
                <w:kern w:val="0"/>
                <w:sz w:val="24"/>
                <w:szCs w:val="24"/>
              </w:rPr>
              <w:t>46</w:t>
            </w:r>
          </w:p>
        </w:tc>
      </w:tr>
      <w:tr>
        <w:tblPrEx>
          <w:tblLayout w:type="fixed"/>
          <w:tblCellMar>
            <w:top w:w="15" w:type="dxa"/>
            <w:left w:w="15" w:type="dxa"/>
            <w:bottom w:w="15" w:type="dxa"/>
            <w:right w:w="15" w:type="dxa"/>
          </w:tblCellMar>
        </w:tblPrEx>
        <w:trPr>
          <w:trHeight w:val="630" w:hRule="atLeast"/>
        </w:trPr>
        <w:tc>
          <w:tcPr>
            <w:tcW w:w="4965" w:type="dxa"/>
            <w:tcBorders>
              <w:top w:val="nil"/>
              <w:left w:val="single" w:color="auto" w:sz="8" w:space="0"/>
              <w:bottom w:val="single" w:color="auto" w:sz="8" w:space="0"/>
              <w:right w:val="single" w:color="auto" w:sz="8" w:space="0"/>
            </w:tcBorders>
            <w:shd w:val="clear" w:color="auto" w:fill="FFFFFF"/>
            <w:vAlign w:val="center"/>
          </w:tcPr>
          <w:p>
            <w:pPr>
              <w:widowControl/>
              <w:spacing w:after="150" w:line="432" w:lineRule="atLeast"/>
              <w:jc w:val="left"/>
              <w:rPr>
                <w:rFonts w:ascii="宋体" w:hAnsi="宋体"/>
                <w:color w:val="333333"/>
                <w:kern w:val="0"/>
                <w:sz w:val="24"/>
                <w:szCs w:val="24"/>
              </w:rPr>
            </w:pPr>
            <w:r>
              <w:rPr>
                <w:rFonts w:hint="eastAsia" w:ascii="宋体" w:hAnsi="宋体"/>
                <w:color w:val="000000"/>
                <w:kern w:val="0"/>
              </w:rPr>
              <w:t xml:space="preserve">      </w:t>
            </w:r>
            <w:r>
              <w:rPr>
                <w:rFonts w:hint="eastAsia" w:ascii="黑体" w:hAnsi="黑体" w:eastAsia="黑体" w:cs="宋体"/>
                <w:color w:val="000000"/>
                <w:kern w:val="0"/>
              </w:rPr>
              <w:t>（3）公务用车购置数（辆）</w:t>
            </w:r>
          </w:p>
        </w:tc>
        <w:tc>
          <w:tcPr>
            <w:tcW w:w="1973" w:type="dxa"/>
            <w:tcBorders>
              <w:top w:val="nil"/>
              <w:left w:val="nil"/>
              <w:bottom w:val="single" w:color="auto" w:sz="8" w:space="0"/>
              <w:right w:val="single" w:color="auto" w:sz="8" w:space="0"/>
            </w:tcBorders>
            <w:shd w:val="clear" w:color="auto" w:fill="FFFFFF"/>
            <w:vAlign w:val="center"/>
          </w:tcPr>
          <w:p>
            <w:pPr>
              <w:widowControl/>
              <w:spacing w:after="150" w:line="432" w:lineRule="atLeast"/>
              <w:jc w:val="left"/>
              <w:rPr>
                <w:rFonts w:ascii="宋体" w:hAnsi="宋体"/>
                <w:color w:val="333333"/>
                <w:kern w:val="0"/>
                <w:sz w:val="24"/>
                <w:szCs w:val="24"/>
              </w:rPr>
            </w:pPr>
            <w:r>
              <w:rPr>
                <w:rFonts w:hint="eastAsia" w:ascii="宋体" w:hAnsi="宋体"/>
                <w:color w:val="333333"/>
                <w:kern w:val="0"/>
                <w:sz w:val="24"/>
                <w:szCs w:val="24"/>
              </w:rPr>
              <w:t>7</w:t>
            </w:r>
          </w:p>
        </w:tc>
      </w:tr>
      <w:tr>
        <w:tblPrEx>
          <w:tblLayout w:type="fixed"/>
          <w:tblCellMar>
            <w:top w:w="15" w:type="dxa"/>
            <w:left w:w="15" w:type="dxa"/>
            <w:bottom w:w="15" w:type="dxa"/>
            <w:right w:w="15" w:type="dxa"/>
          </w:tblCellMar>
        </w:tblPrEx>
        <w:trPr>
          <w:trHeight w:val="630" w:hRule="atLeast"/>
        </w:trPr>
        <w:tc>
          <w:tcPr>
            <w:tcW w:w="4965" w:type="dxa"/>
            <w:tcBorders>
              <w:top w:val="nil"/>
              <w:left w:val="single" w:color="auto" w:sz="8" w:space="0"/>
              <w:bottom w:val="single" w:color="auto" w:sz="8" w:space="0"/>
              <w:right w:val="single" w:color="auto" w:sz="8" w:space="0"/>
            </w:tcBorders>
            <w:shd w:val="clear" w:color="auto" w:fill="FFFFFF"/>
            <w:vAlign w:val="center"/>
          </w:tcPr>
          <w:p>
            <w:pPr>
              <w:widowControl/>
              <w:spacing w:after="150" w:line="432" w:lineRule="atLeast"/>
              <w:jc w:val="left"/>
              <w:rPr>
                <w:rFonts w:ascii="宋体" w:hAnsi="宋体"/>
                <w:color w:val="333333"/>
                <w:kern w:val="0"/>
                <w:sz w:val="24"/>
                <w:szCs w:val="24"/>
              </w:rPr>
            </w:pPr>
            <w:r>
              <w:rPr>
                <w:rFonts w:hint="eastAsia" w:ascii="宋体" w:hAnsi="宋体"/>
                <w:color w:val="000000"/>
                <w:kern w:val="0"/>
              </w:rPr>
              <w:t xml:space="preserve">      </w:t>
            </w:r>
            <w:r>
              <w:rPr>
                <w:rFonts w:hint="eastAsia" w:ascii="黑体" w:hAnsi="黑体" w:eastAsia="黑体" w:cs="宋体"/>
                <w:color w:val="000000"/>
                <w:kern w:val="0"/>
              </w:rPr>
              <w:t>（4）公务用车保有量（辆）</w:t>
            </w:r>
          </w:p>
        </w:tc>
        <w:tc>
          <w:tcPr>
            <w:tcW w:w="1973" w:type="dxa"/>
            <w:tcBorders>
              <w:top w:val="nil"/>
              <w:left w:val="nil"/>
              <w:bottom w:val="single" w:color="auto" w:sz="8" w:space="0"/>
              <w:right w:val="single" w:color="auto" w:sz="8" w:space="0"/>
            </w:tcBorders>
            <w:shd w:val="clear" w:color="auto" w:fill="FFFFFF"/>
            <w:vAlign w:val="center"/>
          </w:tcPr>
          <w:p>
            <w:pPr>
              <w:widowControl/>
              <w:spacing w:after="150" w:line="432" w:lineRule="atLeast"/>
              <w:jc w:val="left"/>
              <w:rPr>
                <w:rFonts w:ascii="宋体" w:hAnsi="宋体"/>
                <w:color w:val="333333"/>
                <w:kern w:val="0"/>
                <w:sz w:val="24"/>
                <w:szCs w:val="24"/>
              </w:rPr>
            </w:pPr>
            <w:r>
              <w:rPr>
                <w:rFonts w:hint="eastAsia" w:ascii="宋体" w:hAnsi="宋体"/>
                <w:color w:val="333333"/>
                <w:kern w:val="0"/>
                <w:sz w:val="24"/>
                <w:szCs w:val="24"/>
              </w:rPr>
              <w:t>374</w:t>
            </w:r>
          </w:p>
        </w:tc>
      </w:tr>
      <w:tr>
        <w:tblPrEx>
          <w:tblLayout w:type="fixed"/>
          <w:tblCellMar>
            <w:top w:w="15" w:type="dxa"/>
            <w:left w:w="15" w:type="dxa"/>
            <w:bottom w:w="15" w:type="dxa"/>
            <w:right w:w="15" w:type="dxa"/>
          </w:tblCellMar>
        </w:tblPrEx>
        <w:trPr>
          <w:trHeight w:val="630" w:hRule="atLeast"/>
        </w:trPr>
        <w:tc>
          <w:tcPr>
            <w:tcW w:w="4965" w:type="dxa"/>
            <w:tcBorders>
              <w:top w:val="nil"/>
              <w:left w:val="single" w:color="auto" w:sz="8" w:space="0"/>
              <w:bottom w:val="single" w:color="auto" w:sz="8" w:space="0"/>
              <w:right w:val="single" w:color="auto" w:sz="8" w:space="0"/>
            </w:tcBorders>
            <w:shd w:val="clear" w:color="auto" w:fill="FFFFFF"/>
            <w:vAlign w:val="center"/>
          </w:tcPr>
          <w:p>
            <w:pPr>
              <w:widowControl/>
              <w:spacing w:after="150" w:line="432" w:lineRule="atLeast"/>
              <w:jc w:val="left"/>
              <w:rPr>
                <w:rFonts w:ascii="宋体" w:hAnsi="宋体"/>
                <w:color w:val="333333"/>
                <w:kern w:val="0"/>
                <w:sz w:val="24"/>
                <w:szCs w:val="24"/>
              </w:rPr>
            </w:pPr>
            <w:r>
              <w:rPr>
                <w:rFonts w:hint="eastAsia" w:ascii="宋体" w:hAnsi="宋体"/>
                <w:color w:val="000000"/>
                <w:kern w:val="0"/>
              </w:rPr>
              <w:t xml:space="preserve">      </w:t>
            </w:r>
            <w:r>
              <w:rPr>
                <w:rFonts w:hint="eastAsia" w:ascii="黑体" w:hAnsi="黑体" w:eastAsia="黑体" w:cs="宋体"/>
                <w:color w:val="000000"/>
                <w:kern w:val="0"/>
              </w:rPr>
              <w:t>（5）国内公务接待批次（个）</w:t>
            </w:r>
          </w:p>
        </w:tc>
        <w:tc>
          <w:tcPr>
            <w:tcW w:w="1973" w:type="dxa"/>
            <w:tcBorders>
              <w:top w:val="nil"/>
              <w:left w:val="nil"/>
              <w:bottom w:val="single" w:color="auto" w:sz="8" w:space="0"/>
              <w:right w:val="single" w:color="auto" w:sz="8" w:space="0"/>
            </w:tcBorders>
            <w:shd w:val="clear" w:color="auto" w:fill="FFFFFF"/>
            <w:vAlign w:val="center"/>
          </w:tcPr>
          <w:p>
            <w:pPr>
              <w:widowControl/>
              <w:spacing w:after="150" w:line="432" w:lineRule="atLeast"/>
              <w:jc w:val="left"/>
              <w:rPr>
                <w:rFonts w:ascii="宋体" w:hAnsi="宋体"/>
                <w:color w:val="333333"/>
                <w:kern w:val="0"/>
                <w:sz w:val="24"/>
                <w:szCs w:val="24"/>
              </w:rPr>
            </w:pPr>
            <w:r>
              <w:rPr>
                <w:rFonts w:ascii="宋体" w:hAnsi="宋体"/>
                <w:color w:val="333333"/>
                <w:kern w:val="0"/>
                <w:sz w:val="24"/>
                <w:szCs w:val="24"/>
              </w:rPr>
              <w:t>4054</w:t>
            </w:r>
          </w:p>
        </w:tc>
      </w:tr>
      <w:tr>
        <w:tblPrEx>
          <w:tblLayout w:type="fixed"/>
          <w:tblCellMar>
            <w:top w:w="15" w:type="dxa"/>
            <w:left w:w="15" w:type="dxa"/>
            <w:bottom w:w="15" w:type="dxa"/>
            <w:right w:w="15" w:type="dxa"/>
          </w:tblCellMar>
        </w:tblPrEx>
        <w:trPr>
          <w:trHeight w:val="630" w:hRule="atLeast"/>
        </w:trPr>
        <w:tc>
          <w:tcPr>
            <w:tcW w:w="4965" w:type="dxa"/>
            <w:tcBorders>
              <w:top w:val="nil"/>
              <w:left w:val="single" w:color="auto" w:sz="8" w:space="0"/>
              <w:bottom w:val="single" w:color="auto" w:sz="8" w:space="0"/>
              <w:right w:val="single" w:color="auto" w:sz="8" w:space="0"/>
            </w:tcBorders>
            <w:shd w:val="clear" w:color="auto" w:fill="FFFFFF"/>
            <w:vAlign w:val="center"/>
          </w:tcPr>
          <w:p>
            <w:pPr>
              <w:widowControl/>
              <w:spacing w:after="150" w:line="432" w:lineRule="atLeast"/>
              <w:jc w:val="left"/>
              <w:rPr>
                <w:rFonts w:ascii="宋体" w:hAnsi="宋体"/>
                <w:color w:val="333333"/>
                <w:kern w:val="0"/>
                <w:sz w:val="24"/>
                <w:szCs w:val="24"/>
              </w:rPr>
            </w:pPr>
            <w:r>
              <w:rPr>
                <w:rFonts w:hint="eastAsia" w:ascii="宋体" w:hAnsi="宋体"/>
                <w:color w:val="000000"/>
                <w:kern w:val="0"/>
              </w:rPr>
              <w:t xml:space="preserve">      </w:t>
            </w:r>
            <w:r>
              <w:rPr>
                <w:rFonts w:hint="eastAsia" w:ascii="黑体" w:hAnsi="黑体" w:eastAsia="黑体" w:cs="宋体"/>
                <w:color w:val="000000"/>
                <w:kern w:val="0"/>
              </w:rPr>
              <w:t>（6）国内公务接待人次（人）</w:t>
            </w:r>
          </w:p>
        </w:tc>
        <w:tc>
          <w:tcPr>
            <w:tcW w:w="1973" w:type="dxa"/>
            <w:tcBorders>
              <w:top w:val="nil"/>
              <w:left w:val="nil"/>
              <w:bottom w:val="single" w:color="auto" w:sz="8" w:space="0"/>
              <w:right w:val="single" w:color="auto" w:sz="8" w:space="0"/>
            </w:tcBorders>
            <w:shd w:val="clear" w:color="auto" w:fill="FFFFFF"/>
            <w:vAlign w:val="center"/>
          </w:tcPr>
          <w:p>
            <w:pPr>
              <w:widowControl/>
              <w:spacing w:after="150" w:line="432" w:lineRule="atLeast"/>
              <w:jc w:val="left"/>
              <w:rPr>
                <w:rFonts w:ascii="宋体" w:hAnsi="宋体"/>
                <w:color w:val="333333"/>
                <w:kern w:val="0"/>
                <w:sz w:val="24"/>
                <w:szCs w:val="24"/>
              </w:rPr>
            </w:pPr>
            <w:r>
              <w:rPr>
                <w:rFonts w:ascii="宋体" w:hAnsi="宋体"/>
                <w:color w:val="333333"/>
                <w:kern w:val="0"/>
                <w:sz w:val="24"/>
                <w:szCs w:val="24"/>
              </w:rPr>
              <w:t>37333</w:t>
            </w:r>
          </w:p>
        </w:tc>
      </w:tr>
    </w:tbl>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sz w:val="28"/>
          <w:szCs w:val="28"/>
        </w:rPr>
      </w:pPr>
      <w:r>
        <w:rPr>
          <w:rFonts w:hint="eastAsia" w:ascii="宋体" w:hAnsi="宋体"/>
          <w:sz w:val="28"/>
          <w:szCs w:val="28"/>
        </w:rPr>
        <w:t>公务车购置数</w:t>
      </w:r>
      <w:r>
        <w:rPr>
          <w:rFonts w:hint="eastAsia"/>
          <w:sz w:val="28"/>
          <w:szCs w:val="28"/>
        </w:rPr>
        <w:t>7</w:t>
      </w:r>
      <w:r>
        <w:rPr>
          <w:rFonts w:hint="eastAsia" w:ascii="宋体" w:hAnsi="宋体"/>
          <w:sz w:val="28"/>
          <w:szCs w:val="28"/>
        </w:rPr>
        <w:t>辆:景洪市公安局7辆。</w:t>
      </w:r>
    </w:p>
    <w:p>
      <w:pPr>
        <w:pStyle w:val="2"/>
        <w:rPr>
          <w:rFonts w:hint="eastAsia" w:ascii="宋体" w:hAnsi="宋体" w:eastAsia="宋体" w:cs="宋体"/>
          <w:i w:val="0"/>
          <w:caps w:val="0"/>
          <w:color w:val="333333"/>
          <w:spacing w:val="0"/>
          <w:sz w:val="28"/>
          <w:szCs w:val="28"/>
          <w:shd w:val="clear" w:fill="FFFFFF"/>
        </w:rPr>
      </w:pPr>
    </w:p>
    <w:p>
      <w:pPr>
        <w:rPr>
          <w:rFonts w:hint="eastAsia" w:ascii="黑体" w:hAnsi="黑体" w:eastAsia="黑体" w:cs="宋体"/>
          <w:color w:val="333333"/>
          <w:kern w:val="0"/>
          <w:sz w:val="30"/>
          <w:szCs w:val="30"/>
        </w:rPr>
      </w:pPr>
    </w:p>
    <w:p>
      <w:pPr>
        <w:rPr>
          <w:rFonts w:hint="eastAsia" w:ascii="黑体" w:hAnsi="黑体" w:eastAsia="黑体" w:cs="宋体"/>
          <w:color w:val="333333"/>
          <w:kern w:val="0"/>
          <w:sz w:val="30"/>
          <w:szCs w:val="30"/>
        </w:rPr>
      </w:pPr>
    </w:p>
    <w:p>
      <w:pPr>
        <w:rPr>
          <w:rFonts w:hint="eastAsia" w:ascii="黑体" w:hAnsi="黑体" w:eastAsia="黑体" w:cs="宋体"/>
          <w:color w:val="333333"/>
          <w:kern w:val="0"/>
          <w:sz w:val="30"/>
          <w:szCs w:val="30"/>
        </w:rPr>
      </w:pPr>
    </w:p>
    <w:p>
      <w:pPr>
        <w:rPr>
          <w:rFonts w:ascii="Verdana" w:hAnsi="Verdana" w:cs="宋体"/>
          <w:color w:val="333333"/>
          <w:kern w:val="0"/>
          <w:sz w:val="24"/>
          <w:szCs w:val="24"/>
        </w:rPr>
      </w:pPr>
      <w:r>
        <w:rPr>
          <w:rFonts w:hint="eastAsia" w:ascii="黑体" w:hAnsi="黑体" w:eastAsia="黑体" w:cs="宋体"/>
          <w:color w:val="333333"/>
          <w:kern w:val="0"/>
          <w:sz w:val="30"/>
          <w:szCs w:val="30"/>
        </w:rPr>
        <w:t>附件2</w:t>
      </w:r>
      <w:r>
        <w:rPr>
          <w:rFonts w:hint="eastAsia" w:ascii="黑体" w:hAnsi="黑体" w:eastAsia="黑体" w:cs="宋体"/>
          <w:color w:val="333333"/>
          <w:kern w:val="0"/>
          <w:sz w:val="30"/>
          <w:szCs w:val="30"/>
          <w:lang w:val="en-US" w:eastAsia="zh-CN"/>
        </w:rPr>
        <w:t xml:space="preserve">   </w:t>
      </w:r>
      <w:r>
        <w:rPr>
          <w:rFonts w:hint="eastAsia" w:ascii="黑体" w:hAnsi="黑体" w:eastAsia="黑体" w:cs="宋体"/>
          <w:color w:val="333333"/>
          <w:kern w:val="0"/>
          <w:sz w:val="30"/>
          <w:szCs w:val="30"/>
        </w:rPr>
        <w:t>景洪市2019年“三公”经费同口径决算数对比情况表</w:t>
      </w:r>
    </w:p>
    <w:p>
      <w:pPr>
        <w:widowControl/>
        <w:shd w:val="clear" w:color="auto" w:fill="FFFFFF"/>
        <w:spacing w:after="150" w:line="480" w:lineRule="atLeast"/>
        <w:ind w:firstLine="7200" w:firstLineChars="3000"/>
        <w:jc w:val="left"/>
        <w:rPr>
          <w:rFonts w:ascii="Verdana" w:hAnsi="Verdana" w:cs="宋体"/>
          <w:color w:val="333333"/>
          <w:kern w:val="0"/>
          <w:sz w:val="24"/>
          <w:szCs w:val="24"/>
        </w:rPr>
      </w:pPr>
      <w:r>
        <w:rPr>
          <w:rFonts w:hint="eastAsia" w:ascii="黑体" w:hAnsi="黑体" w:eastAsia="黑体" w:cs="宋体"/>
          <w:color w:val="333333"/>
          <w:kern w:val="0"/>
          <w:sz w:val="24"/>
          <w:szCs w:val="24"/>
        </w:rPr>
        <w:t>单位：万元</w:t>
      </w:r>
    </w:p>
    <w:tbl>
      <w:tblPr>
        <w:tblStyle w:val="6"/>
        <w:tblW w:w="8472" w:type="dxa"/>
        <w:tblInd w:w="0" w:type="dxa"/>
        <w:tblLayout w:type="fixed"/>
        <w:tblCellMar>
          <w:top w:w="15" w:type="dxa"/>
          <w:left w:w="15" w:type="dxa"/>
          <w:bottom w:w="15" w:type="dxa"/>
          <w:right w:w="15" w:type="dxa"/>
        </w:tblCellMar>
      </w:tblPr>
      <w:tblGrid>
        <w:gridCol w:w="1951"/>
        <w:gridCol w:w="1701"/>
        <w:gridCol w:w="1745"/>
        <w:gridCol w:w="1374"/>
        <w:gridCol w:w="1701"/>
      </w:tblGrid>
      <w:tr>
        <w:tblPrEx>
          <w:tblLayout w:type="fixed"/>
          <w:tblCellMar>
            <w:top w:w="15" w:type="dxa"/>
            <w:left w:w="15" w:type="dxa"/>
            <w:bottom w:w="15" w:type="dxa"/>
            <w:right w:w="15" w:type="dxa"/>
          </w:tblCellMar>
        </w:tblPrEx>
        <w:tc>
          <w:tcPr>
            <w:tcW w:w="195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after="150" w:line="432" w:lineRule="atLeast"/>
              <w:jc w:val="center"/>
              <w:rPr>
                <w:rFonts w:ascii="宋体" w:hAnsi="宋体"/>
                <w:color w:val="333333"/>
                <w:kern w:val="0"/>
                <w:sz w:val="24"/>
                <w:szCs w:val="24"/>
              </w:rPr>
            </w:pPr>
            <w:r>
              <w:rPr>
                <w:rFonts w:hint="eastAsia" w:ascii="黑体" w:hAnsi="黑体" w:eastAsia="黑体" w:cs="宋体"/>
                <w:color w:val="000000"/>
                <w:kern w:val="0"/>
              </w:rPr>
              <w:t>项</w:t>
            </w:r>
            <w:r>
              <w:rPr>
                <w:rFonts w:hint="eastAsia" w:ascii="宋体" w:hAnsi="宋体"/>
                <w:color w:val="000000"/>
                <w:kern w:val="0"/>
              </w:rPr>
              <w:t xml:space="preserve">  </w:t>
            </w:r>
            <w:r>
              <w:rPr>
                <w:rFonts w:hint="eastAsia" w:ascii="黑体" w:hAnsi="黑体" w:eastAsia="黑体" w:cs="宋体"/>
                <w:color w:val="000000"/>
                <w:kern w:val="0"/>
              </w:rPr>
              <w:t>目</w:t>
            </w:r>
          </w:p>
        </w:tc>
        <w:tc>
          <w:tcPr>
            <w:tcW w:w="1701"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after="150" w:line="432" w:lineRule="atLeast"/>
              <w:jc w:val="center"/>
              <w:rPr>
                <w:rFonts w:ascii="宋体" w:hAnsi="宋体"/>
                <w:color w:val="333333"/>
                <w:kern w:val="0"/>
                <w:sz w:val="24"/>
                <w:szCs w:val="24"/>
              </w:rPr>
            </w:pPr>
            <w:r>
              <w:rPr>
                <w:rFonts w:hint="eastAsia" w:ascii="黑体" w:hAnsi="黑体" w:eastAsia="黑体" w:cs="宋体"/>
                <w:color w:val="000000"/>
                <w:kern w:val="0"/>
              </w:rPr>
              <w:t>2018年“三公”</w:t>
            </w:r>
          </w:p>
          <w:p>
            <w:pPr>
              <w:widowControl/>
              <w:spacing w:after="150" w:line="432" w:lineRule="atLeast"/>
              <w:jc w:val="center"/>
              <w:rPr>
                <w:rFonts w:ascii="宋体" w:hAnsi="宋体"/>
                <w:color w:val="333333"/>
                <w:kern w:val="0"/>
                <w:sz w:val="24"/>
                <w:szCs w:val="24"/>
              </w:rPr>
            </w:pPr>
            <w:r>
              <w:rPr>
                <w:rFonts w:hint="eastAsia" w:ascii="黑体" w:hAnsi="黑体" w:eastAsia="黑体" w:cs="宋体"/>
                <w:color w:val="000000"/>
                <w:kern w:val="0"/>
              </w:rPr>
              <w:t>经费</w:t>
            </w:r>
          </w:p>
        </w:tc>
        <w:tc>
          <w:tcPr>
            <w:tcW w:w="1745"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after="150" w:line="432" w:lineRule="atLeast"/>
              <w:jc w:val="center"/>
              <w:rPr>
                <w:rFonts w:ascii="宋体" w:hAnsi="宋体"/>
                <w:color w:val="333333"/>
                <w:kern w:val="0"/>
                <w:sz w:val="24"/>
                <w:szCs w:val="24"/>
              </w:rPr>
            </w:pPr>
            <w:r>
              <w:rPr>
                <w:rFonts w:hint="eastAsia" w:ascii="黑体" w:hAnsi="黑体" w:eastAsia="黑体" w:cs="宋体"/>
                <w:color w:val="000000"/>
                <w:kern w:val="0"/>
              </w:rPr>
              <w:t>2019年“三公”</w:t>
            </w:r>
          </w:p>
          <w:p>
            <w:pPr>
              <w:widowControl/>
              <w:spacing w:after="150" w:line="432" w:lineRule="atLeast"/>
              <w:jc w:val="center"/>
              <w:rPr>
                <w:rFonts w:ascii="宋体" w:hAnsi="宋体"/>
                <w:color w:val="333333"/>
                <w:kern w:val="0"/>
                <w:sz w:val="24"/>
                <w:szCs w:val="24"/>
              </w:rPr>
            </w:pPr>
            <w:r>
              <w:rPr>
                <w:rFonts w:hint="eastAsia" w:ascii="黑体" w:hAnsi="黑体" w:eastAsia="黑体" w:cs="宋体"/>
                <w:color w:val="000000"/>
                <w:kern w:val="0"/>
              </w:rPr>
              <w:t>经费</w:t>
            </w:r>
          </w:p>
        </w:tc>
        <w:tc>
          <w:tcPr>
            <w:tcW w:w="1374"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after="150" w:line="432" w:lineRule="atLeast"/>
              <w:jc w:val="center"/>
              <w:rPr>
                <w:rFonts w:ascii="宋体" w:hAnsi="宋体"/>
                <w:color w:val="333333"/>
                <w:kern w:val="0"/>
                <w:sz w:val="24"/>
                <w:szCs w:val="24"/>
              </w:rPr>
            </w:pPr>
            <w:r>
              <w:rPr>
                <w:rFonts w:hint="eastAsia" w:ascii="黑体" w:hAnsi="黑体" w:eastAsia="黑体" w:cs="宋体"/>
                <w:color w:val="000000"/>
                <w:kern w:val="0"/>
              </w:rPr>
              <w:t>较上年</w:t>
            </w:r>
          </w:p>
          <w:p>
            <w:pPr>
              <w:widowControl/>
              <w:spacing w:after="150" w:line="432" w:lineRule="atLeast"/>
              <w:jc w:val="center"/>
              <w:rPr>
                <w:rFonts w:ascii="宋体" w:hAnsi="宋体"/>
                <w:color w:val="333333"/>
                <w:kern w:val="0"/>
                <w:sz w:val="24"/>
                <w:szCs w:val="24"/>
              </w:rPr>
            </w:pPr>
            <w:r>
              <w:rPr>
                <w:rFonts w:hint="eastAsia" w:ascii="黑体" w:hAnsi="黑体" w:eastAsia="黑体" w:cs="宋体"/>
                <w:color w:val="000000"/>
                <w:kern w:val="0"/>
              </w:rPr>
              <w:t>增减额</w:t>
            </w:r>
          </w:p>
        </w:tc>
        <w:tc>
          <w:tcPr>
            <w:tcW w:w="1701"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after="150" w:line="432" w:lineRule="atLeast"/>
              <w:jc w:val="center"/>
              <w:rPr>
                <w:rFonts w:ascii="宋体" w:hAnsi="宋体"/>
                <w:color w:val="333333"/>
                <w:kern w:val="0"/>
                <w:sz w:val="24"/>
                <w:szCs w:val="24"/>
              </w:rPr>
            </w:pPr>
            <w:r>
              <w:rPr>
                <w:rFonts w:hint="eastAsia" w:ascii="黑体" w:hAnsi="黑体" w:eastAsia="黑体" w:cs="宋体"/>
                <w:color w:val="000000"/>
                <w:kern w:val="0"/>
              </w:rPr>
              <w:t>较上年</w:t>
            </w:r>
          </w:p>
          <w:p>
            <w:pPr>
              <w:widowControl/>
              <w:spacing w:after="150" w:line="432" w:lineRule="atLeast"/>
              <w:jc w:val="center"/>
              <w:rPr>
                <w:rFonts w:ascii="宋体" w:hAnsi="宋体"/>
                <w:color w:val="333333"/>
                <w:kern w:val="0"/>
                <w:sz w:val="24"/>
                <w:szCs w:val="24"/>
              </w:rPr>
            </w:pPr>
            <w:r>
              <w:rPr>
                <w:rFonts w:hint="eastAsia" w:ascii="黑体" w:hAnsi="黑体" w:eastAsia="黑体" w:cs="宋体"/>
                <w:color w:val="000000"/>
                <w:kern w:val="0"/>
              </w:rPr>
              <w:t>增减幅度</w:t>
            </w:r>
          </w:p>
        </w:tc>
      </w:tr>
      <w:tr>
        <w:tblPrEx>
          <w:tblLayout w:type="fixed"/>
          <w:tblCellMar>
            <w:top w:w="15" w:type="dxa"/>
            <w:left w:w="15" w:type="dxa"/>
            <w:bottom w:w="15" w:type="dxa"/>
            <w:right w:w="15" w:type="dxa"/>
          </w:tblCellMar>
        </w:tblPrEx>
        <w:tc>
          <w:tcPr>
            <w:tcW w:w="1951"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after="150" w:line="432" w:lineRule="atLeast"/>
              <w:jc w:val="center"/>
              <w:rPr>
                <w:rFonts w:ascii="宋体" w:hAnsi="宋体"/>
                <w:color w:val="333333"/>
                <w:kern w:val="0"/>
                <w:sz w:val="24"/>
                <w:szCs w:val="24"/>
              </w:rPr>
            </w:pPr>
            <w:r>
              <w:rPr>
                <w:rFonts w:hint="eastAsia" w:ascii="黑体" w:hAnsi="黑体" w:eastAsia="黑体" w:cs="宋体"/>
                <w:color w:val="000000"/>
                <w:kern w:val="0"/>
              </w:rPr>
              <w:t>合</w:t>
            </w:r>
            <w:r>
              <w:rPr>
                <w:rFonts w:hint="eastAsia" w:ascii="宋体" w:hAnsi="宋体"/>
                <w:color w:val="000000"/>
                <w:kern w:val="0"/>
              </w:rPr>
              <w:t xml:space="preserve">  </w:t>
            </w:r>
            <w:r>
              <w:rPr>
                <w:rFonts w:hint="eastAsia" w:ascii="黑体" w:hAnsi="黑体" w:eastAsia="黑体" w:cs="宋体"/>
                <w:color w:val="000000"/>
                <w:kern w:val="0"/>
              </w:rPr>
              <w:t>计</w:t>
            </w:r>
          </w:p>
        </w:tc>
        <w:tc>
          <w:tcPr>
            <w:tcW w:w="170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after="150" w:line="480" w:lineRule="atLeast"/>
              <w:jc w:val="left"/>
              <w:rPr>
                <w:rFonts w:ascii="宋体" w:hAnsi="宋体"/>
                <w:color w:val="333333"/>
                <w:kern w:val="0"/>
                <w:sz w:val="24"/>
                <w:szCs w:val="24"/>
              </w:rPr>
            </w:pPr>
            <w:r>
              <w:rPr>
                <w:rFonts w:hint="eastAsia" w:ascii="宋体" w:hAnsi="宋体"/>
                <w:color w:val="333333"/>
                <w:kern w:val="0"/>
                <w:sz w:val="24"/>
                <w:szCs w:val="24"/>
              </w:rPr>
              <w:t>1436.38</w:t>
            </w:r>
          </w:p>
        </w:tc>
        <w:tc>
          <w:tcPr>
            <w:tcW w:w="17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after="150" w:line="480" w:lineRule="atLeast"/>
              <w:jc w:val="left"/>
              <w:rPr>
                <w:rFonts w:ascii="宋体" w:hAnsi="宋体"/>
                <w:color w:val="333333"/>
                <w:kern w:val="0"/>
                <w:sz w:val="24"/>
                <w:szCs w:val="24"/>
              </w:rPr>
            </w:pPr>
            <w:r>
              <w:rPr>
                <w:rFonts w:ascii="宋体" w:hAnsi="宋体"/>
                <w:color w:val="333333"/>
                <w:kern w:val="0"/>
                <w:sz w:val="24"/>
                <w:szCs w:val="24"/>
              </w:rPr>
              <w:t>1291.50</w:t>
            </w:r>
          </w:p>
        </w:tc>
        <w:tc>
          <w:tcPr>
            <w:tcW w:w="137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after="150" w:line="480" w:lineRule="atLeast"/>
              <w:jc w:val="left"/>
              <w:rPr>
                <w:rFonts w:ascii="宋体" w:hAnsi="宋体"/>
                <w:color w:val="333333"/>
                <w:kern w:val="0"/>
                <w:sz w:val="24"/>
                <w:szCs w:val="24"/>
              </w:rPr>
            </w:pPr>
            <w:r>
              <w:rPr>
                <w:rFonts w:hint="eastAsia" w:ascii="宋体" w:hAnsi="宋体"/>
                <w:color w:val="333333"/>
                <w:kern w:val="0"/>
                <w:sz w:val="24"/>
                <w:szCs w:val="24"/>
              </w:rPr>
              <w:t>-144.88</w:t>
            </w:r>
          </w:p>
        </w:tc>
        <w:tc>
          <w:tcPr>
            <w:tcW w:w="170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after="150" w:line="480" w:lineRule="atLeast"/>
              <w:jc w:val="left"/>
              <w:rPr>
                <w:rFonts w:ascii="宋体" w:hAnsi="宋体"/>
                <w:color w:val="333333"/>
                <w:kern w:val="0"/>
                <w:sz w:val="24"/>
                <w:szCs w:val="24"/>
              </w:rPr>
            </w:pPr>
            <w:r>
              <w:rPr>
                <w:rFonts w:hint="eastAsia" w:ascii="宋体" w:hAnsi="宋体"/>
                <w:color w:val="333333"/>
                <w:kern w:val="0"/>
                <w:sz w:val="24"/>
                <w:szCs w:val="24"/>
              </w:rPr>
              <w:t>-10.09%</w:t>
            </w:r>
          </w:p>
        </w:tc>
      </w:tr>
      <w:tr>
        <w:tblPrEx>
          <w:tblLayout w:type="fixed"/>
          <w:tblCellMar>
            <w:top w:w="15" w:type="dxa"/>
            <w:left w:w="15" w:type="dxa"/>
            <w:bottom w:w="15" w:type="dxa"/>
            <w:right w:w="15" w:type="dxa"/>
          </w:tblCellMar>
        </w:tblPrEx>
        <w:tc>
          <w:tcPr>
            <w:tcW w:w="1951"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32" w:lineRule="atLeast"/>
              <w:jc w:val="left"/>
              <w:rPr>
                <w:rFonts w:ascii="宋体" w:hAnsi="宋体"/>
                <w:color w:val="333333"/>
                <w:kern w:val="0"/>
                <w:sz w:val="24"/>
                <w:szCs w:val="24"/>
              </w:rPr>
            </w:pPr>
            <w:r>
              <w:rPr>
                <w:rFonts w:hint="eastAsia" w:ascii="黑体" w:hAnsi="黑体" w:eastAsia="黑体" w:cs="宋体"/>
                <w:color w:val="000000"/>
                <w:kern w:val="0"/>
              </w:rPr>
              <w:t>1.因公出国（境）费</w:t>
            </w:r>
          </w:p>
        </w:tc>
        <w:tc>
          <w:tcPr>
            <w:tcW w:w="170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80" w:lineRule="atLeast"/>
              <w:jc w:val="left"/>
              <w:rPr>
                <w:rFonts w:ascii="宋体" w:hAnsi="宋体"/>
                <w:color w:val="333333"/>
                <w:kern w:val="0"/>
                <w:sz w:val="24"/>
                <w:szCs w:val="24"/>
              </w:rPr>
            </w:pPr>
            <w:r>
              <w:rPr>
                <w:rFonts w:hint="eastAsia" w:ascii="宋体" w:hAnsi="宋体"/>
                <w:color w:val="333333"/>
                <w:kern w:val="0"/>
                <w:sz w:val="24"/>
                <w:szCs w:val="24"/>
              </w:rPr>
              <w:t>33.7</w:t>
            </w:r>
          </w:p>
        </w:tc>
        <w:tc>
          <w:tcPr>
            <w:tcW w:w="17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80" w:lineRule="atLeast"/>
              <w:jc w:val="left"/>
              <w:rPr>
                <w:rFonts w:ascii="宋体" w:hAnsi="宋体"/>
                <w:color w:val="333333"/>
                <w:kern w:val="0"/>
                <w:sz w:val="24"/>
                <w:szCs w:val="24"/>
              </w:rPr>
            </w:pPr>
            <w:r>
              <w:rPr>
                <w:rFonts w:ascii="宋体" w:hAnsi="宋体"/>
                <w:color w:val="333333"/>
                <w:kern w:val="0"/>
                <w:sz w:val="24"/>
                <w:szCs w:val="24"/>
              </w:rPr>
              <w:t>49.93</w:t>
            </w:r>
          </w:p>
        </w:tc>
        <w:tc>
          <w:tcPr>
            <w:tcW w:w="137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80" w:lineRule="atLeast"/>
              <w:jc w:val="left"/>
              <w:rPr>
                <w:rFonts w:ascii="宋体" w:hAnsi="宋体"/>
                <w:color w:val="333333"/>
                <w:kern w:val="0"/>
                <w:sz w:val="24"/>
                <w:szCs w:val="24"/>
              </w:rPr>
            </w:pPr>
            <w:r>
              <w:rPr>
                <w:rFonts w:hint="eastAsia" w:ascii="宋体" w:hAnsi="宋体"/>
                <w:color w:val="333333"/>
                <w:kern w:val="0"/>
                <w:sz w:val="24"/>
                <w:szCs w:val="24"/>
              </w:rPr>
              <w:t>16.23</w:t>
            </w:r>
          </w:p>
        </w:tc>
        <w:tc>
          <w:tcPr>
            <w:tcW w:w="170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80" w:lineRule="atLeast"/>
              <w:jc w:val="left"/>
              <w:rPr>
                <w:rFonts w:ascii="宋体" w:hAnsi="宋体"/>
                <w:color w:val="333333"/>
                <w:kern w:val="0"/>
                <w:sz w:val="24"/>
                <w:szCs w:val="24"/>
              </w:rPr>
            </w:pPr>
            <w:r>
              <w:rPr>
                <w:rFonts w:hint="eastAsia" w:ascii="宋体" w:hAnsi="宋体"/>
                <w:color w:val="333333"/>
                <w:kern w:val="0"/>
                <w:sz w:val="24"/>
                <w:szCs w:val="24"/>
              </w:rPr>
              <w:t>48.16%</w:t>
            </w:r>
          </w:p>
        </w:tc>
      </w:tr>
      <w:tr>
        <w:tblPrEx>
          <w:tblLayout w:type="fixed"/>
          <w:tblCellMar>
            <w:top w:w="15" w:type="dxa"/>
            <w:left w:w="15" w:type="dxa"/>
            <w:bottom w:w="15" w:type="dxa"/>
            <w:right w:w="15" w:type="dxa"/>
          </w:tblCellMar>
        </w:tblPrEx>
        <w:tc>
          <w:tcPr>
            <w:tcW w:w="1951"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32" w:lineRule="atLeast"/>
              <w:jc w:val="left"/>
              <w:rPr>
                <w:rFonts w:ascii="宋体" w:hAnsi="宋体"/>
                <w:color w:val="333333"/>
                <w:kern w:val="0"/>
                <w:sz w:val="24"/>
                <w:szCs w:val="24"/>
              </w:rPr>
            </w:pPr>
            <w:r>
              <w:rPr>
                <w:rFonts w:hint="eastAsia" w:ascii="黑体" w:hAnsi="黑体" w:eastAsia="黑体" w:cs="宋体"/>
                <w:color w:val="000000"/>
                <w:kern w:val="0"/>
              </w:rPr>
              <w:t>2.公务接待费</w:t>
            </w:r>
          </w:p>
        </w:tc>
        <w:tc>
          <w:tcPr>
            <w:tcW w:w="170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80" w:lineRule="atLeast"/>
              <w:jc w:val="left"/>
              <w:rPr>
                <w:rFonts w:ascii="宋体" w:hAnsi="宋体"/>
                <w:color w:val="333333"/>
                <w:kern w:val="0"/>
                <w:sz w:val="24"/>
                <w:szCs w:val="24"/>
              </w:rPr>
            </w:pPr>
            <w:r>
              <w:rPr>
                <w:rFonts w:hint="eastAsia" w:ascii="宋体" w:hAnsi="宋体"/>
                <w:color w:val="333333"/>
                <w:kern w:val="0"/>
                <w:sz w:val="24"/>
                <w:szCs w:val="24"/>
              </w:rPr>
              <w:t>314.66</w:t>
            </w:r>
          </w:p>
        </w:tc>
        <w:tc>
          <w:tcPr>
            <w:tcW w:w="17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80" w:lineRule="atLeast"/>
              <w:jc w:val="left"/>
              <w:rPr>
                <w:rFonts w:ascii="宋体" w:hAnsi="宋体"/>
                <w:color w:val="333333"/>
                <w:kern w:val="0"/>
                <w:sz w:val="24"/>
                <w:szCs w:val="24"/>
              </w:rPr>
            </w:pPr>
            <w:r>
              <w:rPr>
                <w:rFonts w:ascii="宋体" w:hAnsi="宋体"/>
                <w:color w:val="333333"/>
                <w:kern w:val="0"/>
                <w:sz w:val="24"/>
                <w:szCs w:val="24"/>
              </w:rPr>
              <w:t>182.11</w:t>
            </w:r>
          </w:p>
        </w:tc>
        <w:tc>
          <w:tcPr>
            <w:tcW w:w="137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80" w:lineRule="atLeast"/>
              <w:jc w:val="left"/>
              <w:rPr>
                <w:rFonts w:ascii="宋体" w:hAnsi="宋体"/>
                <w:color w:val="333333"/>
                <w:kern w:val="0"/>
                <w:sz w:val="24"/>
                <w:szCs w:val="24"/>
              </w:rPr>
            </w:pPr>
            <w:r>
              <w:rPr>
                <w:rFonts w:hint="eastAsia" w:ascii="宋体" w:hAnsi="宋体"/>
                <w:color w:val="333333"/>
                <w:kern w:val="0"/>
                <w:sz w:val="24"/>
                <w:szCs w:val="24"/>
              </w:rPr>
              <w:t>-132.55</w:t>
            </w:r>
          </w:p>
        </w:tc>
        <w:tc>
          <w:tcPr>
            <w:tcW w:w="170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80" w:lineRule="atLeast"/>
              <w:jc w:val="left"/>
              <w:rPr>
                <w:rFonts w:ascii="宋体" w:hAnsi="宋体"/>
                <w:color w:val="333333"/>
                <w:kern w:val="0"/>
                <w:sz w:val="24"/>
                <w:szCs w:val="24"/>
              </w:rPr>
            </w:pPr>
            <w:r>
              <w:rPr>
                <w:rFonts w:hint="eastAsia" w:ascii="宋体" w:hAnsi="宋体"/>
                <w:color w:val="333333"/>
                <w:kern w:val="0"/>
                <w:sz w:val="24"/>
                <w:szCs w:val="24"/>
              </w:rPr>
              <w:t>-42.12%</w:t>
            </w:r>
          </w:p>
        </w:tc>
      </w:tr>
      <w:tr>
        <w:tblPrEx>
          <w:tblLayout w:type="fixed"/>
          <w:tblCellMar>
            <w:top w:w="15" w:type="dxa"/>
            <w:left w:w="15" w:type="dxa"/>
            <w:bottom w:w="15" w:type="dxa"/>
            <w:right w:w="15" w:type="dxa"/>
          </w:tblCellMar>
        </w:tblPrEx>
        <w:tc>
          <w:tcPr>
            <w:tcW w:w="1951"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32" w:lineRule="atLeast"/>
              <w:jc w:val="left"/>
              <w:rPr>
                <w:rFonts w:ascii="宋体" w:hAnsi="宋体"/>
                <w:color w:val="333333"/>
                <w:kern w:val="0"/>
                <w:sz w:val="24"/>
                <w:szCs w:val="24"/>
              </w:rPr>
            </w:pPr>
            <w:r>
              <w:rPr>
                <w:rFonts w:hint="eastAsia" w:ascii="黑体" w:hAnsi="黑体" w:eastAsia="黑体" w:cs="宋体"/>
                <w:color w:val="000000"/>
                <w:kern w:val="0"/>
              </w:rPr>
              <w:t>3.公务用车购置及运行维护费</w:t>
            </w:r>
          </w:p>
        </w:tc>
        <w:tc>
          <w:tcPr>
            <w:tcW w:w="170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80" w:lineRule="atLeast"/>
              <w:rPr>
                <w:rFonts w:ascii="宋体" w:hAnsi="宋体"/>
                <w:color w:val="333333"/>
                <w:kern w:val="0"/>
                <w:sz w:val="24"/>
                <w:szCs w:val="24"/>
              </w:rPr>
            </w:pPr>
            <w:r>
              <w:rPr>
                <w:rFonts w:hint="eastAsia" w:ascii="宋体" w:hAnsi="宋体"/>
                <w:color w:val="333333"/>
                <w:kern w:val="0"/>
                <w:sz w:val="24"/>
                <w:szCs w:val="24"/>
              </w:rPr>
              <w:t>1088.02</w:t>
            </w:r>
          </w:p>
        </w:tc>
        <w:tc>
          <w:tcPr>
            <w:tcW w:w="17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80" w:lineRule="atLeast"/>
              <w:jc w:val="left"/>
              <w:rPr>
                <w:rFonts w:ascii="宋体" w:hAnsi="宋体"/>
                <w:color w:val="333333"/>
                <w:kern w:val="0"/>
                <w:sz w:val="24"/>
                <w:szCs w:val="24"/>
              </w:rPr>
            </w:pPr>
            <w:r>
              <w:rPr>
                <w:rFonts w:hint="eastAsia" w:ascii="宋体" w:hAnsi="宋体"/>
                <w:color w:val="333333"/>
                <w:kern w:val="0"/>
                <w:sz w:val="24"/>
                <w:szCs w:val="24"/>
              </w:rPr>
              <w:t>1059.46</w:t>
            </w:r>
          </w:p>
        </w:tc>
        <w:tc>
          <w:tcPr>
            <w:tcW w:w="137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80" w:lineRule="atLeast"/>
              <w:jc w:val="left"/>
              <w:rPr>
                <w:rFonts w:ascii="宋体" w:hAnsi="宋体"/>
                <w:color w:val="333333"/>
                <w:kern w:val="0"/>
                <w:sz w:val="24"/>
                <w:szCs w:val="24"/>
              </w:rPr>
            </w:pPr>
            <w:r>
              <w:rPr>
                <w:rFonts w:hint="eastAsia" w:ascii="宋体" w:hAnsi="宋体"/>
                <w:color w:val="333333"/>
                <w:kern w:val="0"/>
                <w:sz w:val="24"/>
                <w:szCs w:val="24"/>
              </w:rPr>
              <w:t>-28.56</w:t>
            </w:r>
          </w:p>
        </w:tc>
        <w:tc>
          <w:tcPr>
            <w:tcW w:w="170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80" w:lineRule="atLeast"/>
              <w:jc w:val="left"/>
              <w:rPr>
                <w:rFonts w:ascii="宋体" w:hAnsi="宋体"/>
                <w:color w:val="333333"/>
                <w:kern w:val="0"/>
                <w:sz w:val="24"/>
                <w:szCs w:val="24"/>
              </w:rPr>
            </w:pPr>
            <w:r>
              <w:rPr>
                <w:rFonts w:hint="eastAsia" w:ascii="宋体" w:hAnsi="宋体"/>
                <w:color w:val="333333"/>
                <w:kern w:val="0"/>
                <w:sz w:val="24"/>
                <w:szCs w:val="24"/>
              </w:rPr>
              <w:t>-2.62%</w:t>
            </w:r>
          </w:p>
        </w:tc>
      </w:tr>
      <w:tr>
        <w:tblPrEx>
          <w:tblLayout w:type="fixed"/>
          <w:tblCellMar>
            <w:top w:w="15" w:type="dxa"/>
            <w:left w:w="15" w:type="dxa"/>
            <w:bottom w:w="15" w:type="dxa"/>
            <w:right w:w="15" w:type="dxa"/>
          </w:tblCellMar>
        </w:tblPrEx>
        <w:tc>
          <w:tcPr>
            <w:tcW w:w="1951"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32" w:lineRule="atLeast"/>
              <w:jc w:val="left"/>
              <w:rPr>
                <w:rFonts w:ascii="宋体" w:hAnsi="宋体"/>
                <w:color w:val="333333"/>
                <w:kern w:val="0"/>
                <w:sz w:val="24"/>
                <w:szCs w:val="24"/>
              </w:rPr>
            </w:pPr>
            <w:r>
              <w:rPr>
                <w:rFonts w:hint="eastAsia" w:ascii="黑体" w:hAnsi="黑体" w:eastAsia="黑体" w:cs="宋体"/>
                <w:color w:val="000000"/>
                <w:kern w:val="0"/>
              </w:rPr>
              <w:t>其中：</w:t>
            </w:r>
          </w:p>
          <w:p>
            <w:pPr>
              <w:widowControl/>
              <w:spacing w:after="150" w:line="432" w:lineRule="atLeast"/>
              <w:jc w:val="left"/>
              <w:rPr>
                <w:rFonts w:ascii="宋体" w:hAnsi="宋体"/>
                <w:color w:val="333333"/>
                <w:kern w:val="0"/>
                <w:sz w:val="24"/>
                <w:szCs w:val="24"/>
              </w:rPr>
            </w:pPr>
            <w:r>
              <w:rPr>
                <w:rFonts w:hint="eastAsia" w:ascii="黑体" w:hAnsi="黑体" w:eastAsia="黑体" w:cs="宋体"/>
                <w:color w:val="000000"/>
                <w:kern w:val="0"/>
              </w:rPr>
              <w:t>（1）公务用车购置</w:t>
            </w:r>
          </w:p>
        </w:tc>
        <w:tc>
          <w:tcPr>
            <w:tcW w:w="170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80" w:lineRule="atLeast"/>
              <w:jc w:val="left"/>
              <w:rPr>
                <w:rFonts w:ascii="宋体" w:hAnsi="宋体"/>
                <w:color w:val="333333"/>
                <w:kern w:val="0"/>
                <w:sz w:val="24"/>
                <w:szCs w:val="24"/>
              </w:rPr>
            </w:pPr>
            <w:r>
              <w:rPr>
                <w:rFonts w:hint="eastAsia" w:ascii="宋体" w:hAnsi="宋体"/>
                <w:color w:val="333333"/>
                <w:kern w:val="0"/>
                <w:sz w:val="24"/>
                <w:szCs w:val="24"/>
              </w:rPr>
              <w:t>42.06</w:t>
            </w:r>
          </w:p>
        </w:tc>
        <w:tc>
          <w:tcPr>
            <w:tcW w:w="17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80" w:lineRule="atLeast"/>
              <w:jc w:val="left"/>
              <w:rPr>
                <w:rFonts w:ascii="宋体" w:hAnsi="宋体"/>
                <w:color w:val="333333"/>
                <w:kern w:val="0"/>
                <w:sz w:val="24"/>
                <w:szCs w:val="24"/>
              </w:rPr>
            </w:pPr>
            <w:r>
              <w:rPr>
                <w:rFonts w:hint="eastAsia" w:ascii="宋体" w:hAnsi="宋体"/>
                <w:color w:val="333333"/>
                <w:kern w:val="0"/>
                <w:sz w:val="24"/>
                <w:szCs w:val="24"/>
              </w:rPr>
              <w:t>33.00</w:t>
            </w:r>
          </w:p>
        </w:tc>
        <w:tc>
          <w:tcPr>
            <w:tcW w:w="137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80" w:lineRule="atLeast"/>
              <w:jc w:val="left"/>
              <w:rPr>
                <w:rFonts w:ascii="宋体" w:hAnsi="宋体"/>
                <w:color w:val="333333"/>
                <w:kern w:val="0"/>
                <w:sz w:val="24"/>
                <w:szCs w:val="24"/>
              </w:rPr>
            </w:pPr>
            <w:r>
              <w:rPr>
                <w:rFonts w:hint="eastAsia" w:ascii="宋体" w:hAnsi="宋体"/>
                <w:color w:val="333333"/>
                <w:kern w:val="0"/>
                <w:sz w:val="24"/>
                <w:szCs w:val="24"/>
              </w:rPr>
              <w:t>-9.06</w:t>
            </w:r>
          </w:p>
        </w:tc>
        <w:tc>
          <w:tcPr>
            <w:tcW w:w="170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80" w:lineRule="atLeast"/>
              <w:jc w:val="left"/>
              <w:rPr>
                <w:rFonts w:ascii="宋体" w:hAnsi="宋体"/>
                <w:color w:val="333333"/>
                <w:kern w:val="0"/>
                <w:sz w:val="24"/>
                <w:szCs w:val="24"/>
              </w:rPr>
            </w:pPr>
            <w:r>
              <w:rPr>
                <w:rFonts w:hint="eastAsia" w:ascii="宋体" w:hAnsi="宋体"/>
                <w:color w:val="333333"/>
                <w:kern w:val="0"/>
                <w:sz w:val="24"/>
                <w:szCs w:val="24"/>
              </w:rPr>
              <w:t>-21.54%</w:t>
            </w:r>
          </w:p>
        </w:tc>
      </w:tr>
      <w:tr>
        <w:tblPrEx>
          <w:tblLayout w:type="fixed"/>
          <w:tblCellMar>
            <w:top w:w="15" w:type="dxa"/>
            <w:left w:w="15" w:type="dxa"/>
            <w:bottom w:w="15" w:type="dxa"/>
            <w:right w:w="15" w:type="dxa"/>
          </w:tblCellMar>
        </w:tblPrEx>
        <w:tc>
          <w:tcPr>
            <w:tcW w:w="1951"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32" w:lineRule="atLeast"/>
              <w:jc w:val="left"/>
              <w:rPr>
                <w:rFonts w:ascii="宋体" w:hAnsi="宋体"/>
                <w:color w:val="333333"/>
                <w:kern w:val="0"/>
                <w:sz w:val="24"/>
                <w:szCs w:val="24"/>
              </w:rPr>
            </w:pPr>
            <w:r>
              <w:rPr>
                <w:rFonts w:hint="eastAsia" w:ascii="宋体" w:hAnsi="宋体"/>
                <w:color w:val="000000"/>
                <w:kern w:val="0"/>
              </w:rPr>
              <w:t>（2）</w:t>
            </w:r>
            <w:r>
              <w:rPr>
                <w:rFonts w:hint="eastAsia" w:ascii="黑体" w:hAnsi="黑体" w:eastAsia="黑体" w:cs="宋体"/>
                <w:color w:val="000000"/>
                <w:kern w:val="0"/>
              </w:rPr>
              <w:t>公务用车运行维护费</w:t>
            </w:r>
          </w:p>
        </w:tc>
        <w:tc>
          <w:tcPr>
            <w:tcW w:w="170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80" w:lineRule="atLeast"/>
              <w:jc w:val="left"/>
              <w:rPr>
                <w:rFonts w:ascii="宋体" w:hAnsi="宋体"/>
                <w:color w:val="333333"/>
                <w:kern w:val="0"/>
                <w:sz w:val="24"/>
                <w:szCs w:val="24"/>
              </w:rPr>
            </w:pPr>
            <w:r>
              <w:rPr>
                <w:rFonts w:hint="eastAsia" w:ascii="宋体" w:hAnsi="宋体"/>
                <w:color w:val="333333"/>
                <w:kern w:val="0"/>
                <w:sz w:val="24"/>
                <w:szCs w:val="24"/>
              </w:rPr>
              <w:t>1045.96</w:t>
            </w:r>
          </w:p>
        </w:tc>
        <w:tc>
          <w:tcPr>
            <w:tcW w:w="17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80" w:lineRule="atLeast"/>
              <w:jc w:val="left"/>
              <w:rPr>
                <w:rFonts w:ascii="宋体" w:hAnsi="宋体"/>
                <w:color w:val="333333"/>
                <w:kern w:val="0"/>
                <w:sz w:val="24"/>
                <w:szCs w:val="24"/>
              </w:rPr>
            </w:pPr>
            <w:r>
              <w:rPr>
                <w:rFonts w:ascii="宋体" w:hAnsi="宋体"/>
                <w:color w:val="333333"/>
                <w:kern w:val="0"/>
                <w:sz w:val="24"/>
                <w:szCs w:val="24"/>
              </w:rPr>
              <w:t>1026.46</w:t>
            </w:r>
          </w:p>
        </w:tc>
        <w:tc>
          <w:tcPr>
            <w:tcW w:w="137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80" w:lineRule="atLeast"/>
              <w:jc w:val="left"/>
              <w:rPr>
                <w:rFonts w:ascii="宋体" w:hAnsi="宋体"/>
                <w:color w:val="333333"/>
                <w:kern w:val="0"/>
                <w:sz w:val="24"/>
                <w:szCs w:val="24"/>
              </w:rPr>
            </w:pPr>
            <w:r>
              <w:rPr>
                <w:rFonts w:hint="eastAsia" w:ascii="宋体" w:hAnsi="宋体"/>
                <w:color w:val="333333"/>
                <w:kern w:val="0"/>
                <w:sz w:val="24"/>
                <w:szCs w:val="24"/>
              </w:rPr>
              <w:t>-19.50</w:t>
            </w:r>
          </w:p>
        </w:tc>
        <w:tc>
          <w:tcPr>
            <w:tcW w:w="170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widowControl/>
              <w:spacing w:after="150" w:line="480" w:lineRule="atLeast"/>
              <w:jc w:val="left"/>
              <w:rPr>
                <w:rFonts w:ascii="宋体" w:hAnsi="宋体"/>
                <w:color w:val="333333"/>
                <w:kern w:val="0"/>
                <w:sz w:val="24"/>
                <w:szCs w:val="24"/>
              </w:rPr>
            </w:pPr>
            <w:r>
              <w:rPr>
                <w:rFonts w:hint="eastAsia" w:ascii="宋体" w:hAnsi="宋体"/>
                <w:color w:val="333333"/>
                <w:kern w:val="0"/>
                <w:sz w:val="24"/>
                <w:szCs w:val="24"/>
              </w:rPr>
              <w:t>-1.86%</w:t>
            </w:r>
          </w:p>
        </w:tc>
      </w:tr>
    </w:tbl>
    <w:p>
      <w:pPr>
        <w:pStyle w:val="2"/>
        <w:rPr>
          <w:rFonts w:hint="eastAsia" w:ascii="宋体" w:hAnsi="宋体" w:eastAsia="宋体" w:cs="宋体"/>
          <w:i w:val="0"/>
          <w:caps w:val="0"/>
          <w:color w:val="333333"/>
          <w:spacing w:val="0"/>
          <w:sz w:val="28"/>
          <w:szCs w:val="28"/>
          <w:shd w:val="clear" w:fill="FFFFFF"/>
        </w:rPr>
      </w:pPr>
    </w:p>
    <w:p>
      <w:pPr>
        <w:pStyle w:val="5"/>
        <w:keepNext w:val="0"/>
        <w:keepLines w:val="0"/>
        <w:widowControl/>
        <w:suppressLineNumbers w:val="0"/>
        <w:shd w:val="clear" w:fill="FFFFFF"/>
        <w:spacing w:before="105" w:beforeAutospacing="0" w:after="105" w:afterAutospacing="0" w:line="480" w:lineRule="atLeast"/>
        <w:ind w:left="0" w:right="0" w:firstLine="420"/>
        <w:jc w:val="both"/>
        <w:rPr>
          <w:rFonts w:hint="default" w:ascii="Times New Roman" w:hAnsi="Times New Roman" w:eastAsia="仿宋_GB2312" w:cs="Times New Roman"/>
          <w:i w:val="0"/>
          <w:caps w:val="0"/>
          <w:color w:val="333333"/>
          <w:spacing w:val="0"/>
          <w:sz w:val="32"/>
          <w:szCs w:val="32"/>
        </w:rPr>
      </w:pPr>
      <w:r>
        <w:rPr>
          <w:rFonts w:hint="default" w:ascii="Times New Roman" w:hAnsi="Times New Roman" w:eastAsia="仿宋_GB2312" w:cs="Times New Roman"/>
          <w:i w:val="0"/>
          <w:caps w:val="0"/>
          <w:color w:val="333333"/>
          <w:spacing w:val="0"/>
          <w:sz w:val="32"/>
          <w:szCs w:val="32"/>
          <w:shd w:val="clear" w:fill="FFFFFF"/>
        </w:rPr>
        <w:t>附件3：</w:t>
      </w:r>
    </w:p>
    <w:p>
      <w:pPr>
        <w:pStyle w:val="5"/>
        <w:keepNext w:val="0"/>
        <w:keepLines w:val="0"/>
        <w:widowControl/>
        <w:suppressLineNumbers w:val="0"/>
        <w:shd w:val="clear" w:fill="FFFFFF"/>
        <w:spacing w:before="105" w:beforeAutospacing="0" w:after="105" w:afterAutospacing="0" w:line="432" w:lineRule="atLeast"/>
        <w:ind w:left="0" w:right="0" w:firstLine="420"/>
        <w:jc w:val="both"/>
        <w:rPr>
          <w:rFonts w:hint="default" w:ascii="Times New Roman" w:hAnsi="Times New Roman" w:eastAsia="仿宋_GB2312" w:cs="Times New Roman"/>
          <w:i w:val="0"/>
          <w:caps w:val="0"/>
          <w:color w:val="333333"/>
          <w:spacing w:val="0"/>
          <w:sz w:val="32"/>
          <w:szCs w:val="32"/>
        </w:rPr>
      </w:pPr>
      <w:r>
        <w:rPr>
          <w:rFonts w:hint="default" w:ascii="Times New Roman" w:hAnsi="Times New Roman" w:eastAsia="仿宋_GB2312" w:cs="Times New Roman"/>
          <w:i w:val="0"/>
          <w:caps w:val="0"/>
          <w:color w:val="333333"/>
          <w:spacing w:val="0"/>
          <w:sz w:val="32"/>
          <w:szCs w:val="32"/>
          <w:shd w:val="clear" w:fill="FFFFFF"/>
        </w:rPr>
        <w:t>景洪市“三公”经费口径说明</w:t>
      </w:r>
    </w:p>
    <w:p>
      <w:pPr>
        <w:pStyle w:val="5"/>
        <w:keepNext w:val="0"/>
        <w:keepLines w:val="0"/>
        <w:widowControl/>
        <w:suppressLineNumbers w:val="0"/>
        <w:shd w:val="clear" w:fill="FFFFFF"/>
        <w:spacing w:before="105" w:beforeAutospacing="0" w:after="105" w:afterAutospacing="0" w:line="480" w:lineRule="atLeast"/>
        <w:ind w:left="0" w:right="0" w:firstLine="420"/>
        <w:jc w:val="both"/>
        <w:rPr>
          <w:rFonts w:hint="default" w:ascii="Times New Roman" w:hAnsi="Times New Roman" w:eastAsia="仿宋_GB2312" w:cs="Times New Roman"/>
          <w:i w:val="0"/>
          <w:caps w:val="0"/>
          <w:color w:val="333333"/>
          <w:spacing w:val="0"/>
          <w:sz w:val="32"/>
          <w:szCs w:val="32"/>
        </w:rPr>
      </w:pPr>
      <w:r>
        <w:rPr>
          <w:rFonts w:hint="default" w:ascii="Times New Roman" w:hAnsi="Times New Roman" w:eastAsia="仿宋_GB2312" w:cs="Times New Roman"/>
          <w:i w:val="0"/>
          <w:caps w:val="0"/>
          <w:color w:val="333333"/>
          <w:spacing w:val="0"/>
          <w:sz w:val="32"/>
          <w:szCs w:val="32"/>
          <w:shd w:val="clear" w:fill="FFFFFF"/>
        </w:rPr>
        <w:t>一、按照党中央、国务院有关文件及部门预算管理有关规定，“三公”经费包括因公出国（境）费、公务用车购置及运行维护费和公务接侍费。</w:t>
      </w:r>
    </w:p>
    <w:p>
      <w:pPr>
        <w:pStyle w:val="5"/>
        <w:keepNext w:val="0"/>
        <w:keepLines w:val="0"/>
        <w:widowControl/>
        <w:suppressLineNumbers w:val="0"/>
        <w:shd w:val="clear" w:fill="FFFFFF"/>
        <w:spacing w:before="105" w:beforeAutospacing="0" w:after="105" w:afterAutospacing="0" w:line="480" w:lineRule="atLeast"/>
        <w:ind w:left="0" w:right="0" w:firstLine="420"/>
        <w:jc w:val="both"/>
        <w:rPr>
          <w:rFonts w:hint="default" w:ascii="Times New Roman" w:hAnsi="Times New Roman" w:eastAsia="仿宋_GB2312" w:cs="Times New Roman"/>
          <w:i w:val="0"/>
          <w:caps w:val="0"/>
          <w:color w:val="333333"/>
          <w:spacing w:val="0"/>
          <w:sz w:val="32"/>
          <w:szCs w:val="32"/>
        </w:rPr>
      </w:pPr>
      <w:r>
        <w:rPr>
          <w:rFonts w:hint="default" w:ascii="Times New Roman" w:hAnsi="Times New Roman" w:eastAsia="仿宋_GB2312" w:cs="Times New Roman"/>
          <w:i w:val="0"/>
          <w:caps w:val="0"/>
          <w:color w:val="333333"/>
          <w:spacing w:val="0"/>
          <w:sz w:val="32"/>
          <w:szCs w:val="32"/>
          <w:shd w:val="clear" w:fill="FFFFFF"/>
        </w:rPr>
        <w:t>（一）因公出国（境）费，指单位公务出国（境）的国际旅费、国外城市间交通费、住宿费、伙食费、培训费、公杂费等支出。</w:t>
      </w:r>
    </w:p>
    <w:p>
      <w:pPr>
        <w:pStyle w:val="5"/>
        <w:keepNext w:val="0"/>
        <w:keepLines w:val="0"/>
        <w:widowControl/>
        <w:suppressLineNumbers w:val="0"/>
        <w:shd w:val="clear" w:fill="FFFFFF"/>
        <w:spacing w:before="105" w:beforeAutospacing="0" w:after="105" w:afterAutospacing="0" w:line="480" w:lineRule="atLeast"/>
        <w:ind w:left="0" w:right="0" w:firstLine="420"/>
        <w:jc w:val="both"/>
        <w:rPr>
          <w:rFonts w:hint="default" w:ascii="Times New Roman" w:hAnsi="Times New Roman" w:eastAsia="仿宋_GB2312" w:cs="Times New Roman"/>
          <w:i w:val="0"/>
          <w:caps w:val="0"/>
          <w:color w:val="333333"/>
          <w:spacing w:val="0"/>
          <w:sz w:val="32"/>
          <w:szCs w:val="32"/>
        </w:rPr>
      </w:pPr>
      <w:r>
        <w:rPr>
          <w:rFonts w:hint="default" w:ascii="Times New Roman" w:hAnsi="Times New Roman" w:eastAsia="仿宋_GB2312" w:cs="Times New Roman"/>
          <w:i w:val="0"/>
          <w:caps w:val="0"/>
          <w:color w:val="333333"/>
          <w:spacing w:val="0"/>
          <w:sz w:val="32"/>
          <w:szCs w:val="32"/>
          <w:shd w:val="clear" w:fill="FFFFFF"/>
        </w:rPr>
        <w:t>（二）公务用车购置费，指单位公务用车车辆购置支出（含车辆购置税）；公务用车运行维护费，指单位按规定保留的公务用车燃料费、维修费、过路过桥费、保险费、安全奖励费用等支出。</w:t>
      </w:r>
    </w:p>
    <w:p>
      <w:pPr>
        <w:pStyle w:val="5"/>
        <w:keepNext w:val="0"/>
        <w:keepLines w:val="0"/>
        <w:widowControl/>
        <w:suppressLineNumbers w:val="0"/>
        <w:shd w:val="clear" w:fill="FFFFFF"/>
        <w:spacing w:before="105" w:beforeAutospacing="0" w:after="105" w:afterAutospacing="0" w:line="480" w:lineRule="atLeast"/>
        <w:ind w:left="0" w:right="0" w:firstLine="420"/>
        <w:jc w:val="both"/>
        <w:rPr>
          <w:rFonts w:hint="default" w:ascii="Times New Roman" w:hAnsi="Times New Roman" w:eastAsia="仿宋_GB2312" w:cs="Times New Roman"/>
          <w:i w:val="0"/>
          <w:caps w:val="0"/>
          <w:color w:val="333333"/>
          <w:spacing w:val="0"/>
          <w:sz w:val="32"/>
          <w:szCs w:val="32"/>
        </w:rPr>
      </w:pPr>
      <w:r>
        <w:rPr>
          <w:rFonts w:hint="default" w:ascii="Times New Roman" w:hAnsi="Times New Roman" w:eastAsia="仿宋_GB2312" w:cs="Times New Roman"/>
          <w:i w:val="0"/>
          <w:caps w:val="0"/>
          <w:color w:val="333333"/>
          <w:spacing w:val="0"/>
          <w:sz w:val="32"/>
          <w:szCs w:val="32"/>
          <w:shd w:val="clear" w:fill="FFFFFF"/>
        </w:rPr>
        <w:t>（三）公务接侍费，指单位按规定开支的各类公务接待（含外宾接待）费用。 </w:t>
      </w:r>
    </w:p>
    <w:p>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05" w:beforeAutospacing="0" w:after="105" w:afterAutospacing="0" w:line="480" w:lineRule="atLeast"/>
        <w:ind w:left="0" w:leftChars="0" w:right="0" w:rightChars="0" w:firstLine="640" w:firstLineChars="200"/>
        <w:jc w:val="both"/>
        <w:textAlignment w:val="auto"/>
        <w:outlineLvl w:val="9"/>
        <w:rPr>
          <w:rFonts w:hint="default" w:ascii="Times New Roman" w:hAnsi="Times New Roman" w:eastAsia="仿宋_GB2312" w:cs="Times New Roman"/>
          <w:i w:val="0"/>
          <w:caps w:val="0"/>
          <w:color w:val="333333"/>
          <w:spacing w:val="0"/>
          <w:sz w:val="32"/>
          <w:szCs w:val="32"/>
        </w:rPr>
      </w:pPr>
      <w:r>
        <w:rPr>
          <w:rFonts w:hint="default" w:ascii="Times New Roman" w:hAnsi="Times New Roman" w:eastAsia="仿宋_GB2312" w:cs="Times New Roman"/>
          <w:i w:val="0"/>
          <w:caps w:val="0"/>
          <w:color w:val="333333"/>
          <w:spacing w:val="0"/>
          <w:sz w:val="32"/>
          <w:szCs w:val="32"/>
          <w:shd w:val="clear" w:fill="FFFFFF"/>
        </w:rPr>
        <w:t>二、“三公”经费决算数：指各部门（含下属单位）用一般公共预算财政拨款（含上年结转结余和当年预算）安排的因公出国（境）费、公务用车购置及运行维护费和公务接待费支出数。</w:t>
      </w:r>
    </w:p>
    <w:p>
      <w:pPr>
        <w:spacing w:line="640" w:lineRule="exact"/>
        <w:ind w:firstLine="640" w:firstLineChars="200"/>
        <w:outlineLvl w:val="0"/>
        <w:rPr>
          <w:rFonts w:hint="eastAsia" w:ascii="方正黑体_GBK" w:eastAsia="方正黑体_GBK"/>
          <w:color w:val="000000" w:themeColor="text1"/>
          <w:sz w:val="32"/>
          <w:szCs w:val="32"/>
          <w14:textFill>
            <w14:solidFill>
              <w14:schemeClr w14:val="tx1"/>
            </w14:solidFill>
          </w14:textFill>
        </w:rPr>
      </w:pPr>
    </w:p>
    <w:p>
      <w:pPr>
        <w:spacing w:line="640" w:lineRule="exact"/>
        <w:ind w:firstLine="640" w:firstLineChars="200"/>
        <w:outlineLvl w:val="0"/>
        <w:rPr>
          <w:rFonts w:hint="eastAsia" w:ascii="方正黑体_GBK" w:eastAsia="方正黑体_GBK"/>
          <w:color w:val="000000" w:themeColor="text1"/>
          <w:sz w:val="32"/>
          <w:szCs w:val="32"/>
          <w14:textFill>
            <w14:solidFill>
              <w14:schemeClr w14:val="tx1"/>
            </w14:solidFill>
          </w14:textFill>
        </w:rPr>
      </w:pPr>
    </w:p>
    <w:p>
      <w:pPr>
        <w:spacing w:line="600" w:lineRule="exact"/>
        <w:ind w:firstLine="640" w:firstLineChars="200"/>
        <w:jc w:val="center"/>
        <w:rPr>
          <w:rFonts w:hint="eastAsia" w:eastAsia="方正仿宋_GBK"/>
          <w:sz w:val="32"/>
          <w:szCs w:val="32"/>
        </w:rPr>
      </w:pPr>
    </w:p>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center"/>
        <w:textAlignment w:val="auto"/>
        <w:outlineLvl w:val="9"/>
        <w:rPr>
          <w:rFonts w:hint="eastAsia" w:ascii="Times New Roman" w:hAnsi="Times New Roman" w:eastAsia="方正仿宋_GBK" w:cs="Times New Roman"/>
          <w:color w:val="auto"/>
          <w:sz w:val="32"/>
          <w:szCs w:val="32"/>
          <w:lang w:val="en-US" w:eastAsia="zh-CN"/>
        </w:rPr>
      </w:pPr>
    </w:p>
    <w:p>
      <w:pPr>
        <w:pStyle w:val="2"/>
        <w:rPr>
          <w:rFonts w:hint="eastAsia" w:ascii="方正仿宋_GBK" w:hAnsi="方正仿宋_GBK" w:eastAsia="方正仿宋_GBK" w:cs="方正仿宋_GBK"/>
          <w:sz w:val="32"/>
          <w:szCs w:val="32"/>
        </w:rPr>
      </w:pPr>
    </w:p>
    <w:p>
      <w:pPr>
        <w:rPr>
          <w:rFonts w:hint="default" w:eastAsia="宋体"/>
          <w:color w:val="000000" w:themeColor="text1"/>
          <w:lang w:val="en-US" w:eastAsia="zh-CN"/>
          <w14:textFill>
            <w14:solidFill>
              <w14:schemeClr w14:val="tx1"/>
            </w14:solidFill>
          </w14:textFill>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0AFF" w:usb1="00007843" w:usb2="00000001" w:usb3="00000000" w:csb0="400001BF" w:csb1="DFF7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1DFD"/>
    <w:rsid w:val="00000CC5"/>
    <w:rsid w:val="00007FC1"/>
    <w:rsid w:val="00012F5D"/>
    <w:rsid w:val="00025751"/>
    <w:rsid w:val="00030EEF"/>
    <w:rsid w:val="00040B5C"/>
    <w:rsid w:val="00040D61"/>
    <w:rsid w:val="00043F6D"/>
    <w:rsid w:val="000670AA"/>
    <w:rsid w:val="00083CD1"/>
    <w:rsid w:val="000A7752"/>
    <w:rsid w:val="000B3164"/>
    <w:rsid w:val="000B675E"/>
    <w:rsid w:val="000B7AEA"/>
    <w:rsid w:val="000C0848"/>
    <w:rsid w:val="000D3B53"/>
    <w:rsid w:val="000D4824"/>
    <w:rsid w:val="000D6A16"/>
    <w:rsid w:val="0011323A"/>
    <w:rsid w:val="00131691"/>
    <w:rsid w:val="00144C9F"/>
    <w:rsid w:val="00152EB1"/>
    <w:rsid w:val="00154D9D"/>
    <w:rsid w:val="00164E74"/>
    <w:rsid w:val="00181157"/>
    <w:rsid w:val="00181496"/>
    <w:rsid w:val="00184A40"/>
    <w:rsid w:val="001B09A0"/>
    <w:rsid w:val="001E4B6F"/>
    <w:rsid w:val="001E75DA"/>
    <w:rsid w:val="00204C62"/>
    <w:rsid w:val="002444FC"/>
    <w:rsid w:val="00264C30"/>
    <w:rsid w:val="0028081F"/>
    <w:rsid w:val="00281853"/>
    <w:rsid w:val="00292D68"/>
    <w:rsid w:val="002A1F61"/>
    <w:rsid w:val="002A2108"/>
    <w:rsid w:val="002A3B40"/>
    <w:rsid w:val="002B4807"/>
    <w:rsid w:val="002C504D"/>
    <w:rsid w:val="002C610D"/>
    <w:rsid w:val="002D5640"/>
    <w:rsid w:val="002D7E77"/>
    <w:rsid w:val="002F1887"/>
    <w:rsid w:val="003112B1"/>
    <w:rsid w:val="00316A91"/>
    <w:rsid w:val="00365B35"/>
    <w:rsid w:val="00366A0A"/>
    <w:rsid w:val="00382283"/>
    <w:rsid w:val="003848C6"/>
    <w:rsid w:val="00393AA0"/>
    <w:rsid w:val="003A05A1"/>
    <w:rsid w:val="003A25CA"/>
    <w:rsid w:val="003A77BE"/>
    <w:rsid w:val="003B7FA6"/>
    <w:rsid w:val="003C648B"/>
    <w:rsid w:val="003D387C"/>
    <w:rsid w:val="003F76F6"/>
    <w:rsid w:val="004527CA"/>
    <w:rsid w:val="00456723"/>
    <w:rsid w:val="0047616D"/>
    <w:rsid w:val="00483A92"/>
    <w:rsid w:val="004A139C"/>
    <w:rsid w:val="004B43C2"/>
    <w:rsid w:val="004E3434"/>
    <w:rsid w:val="004E4954"/>
    <w:rsid w:val="005101A6"/>
    <w:rsid w:val="005151B9"/>
    <w:rsid w:val="00553CBF"/>
    <w:rsid w:val="005617FE"/>
    <w:rsid w:val="005637AA"/>
    <w:rsid w:val="005937EC"/>
    <w:rsid w:val="005A1961"/>
    <w:rsid w:val="005A76A1"/>
    <w:rsid w:val="005A7723"/>
    <w:rsid w:val="005E31AA"/>
    <w:rsid w:val="005E477D"/>
    <w:rsid w:val="005E55D4"/>
    <w:rsid w:val="005E64F8"/>
    <w:rsid w:val="005F1B3C"/>
    <w:rsid w:val="005F6CFA"/>
    <w:rsid w:val="006022A6"/>
    <w:rsid w:val="00607A0F"/>
    <w:rsid w:val="00611DFD"/>
    <w:rsid w:val="00621FB3"/>
    <w:rsid w:val="006308B9"/>
    <w:rsid w:val="00670697"/>
    <w:rsid w:val="0069134C"/>
    <w:rsid w:val="006A46B1"/>
    <w:rsid w:val="006C27E0"/>
    <w:rsid w:val="006D0F3E"/>
    <w:rsid w:val="006F02BD"/>
    <w:rsid w:val="007341FF"/>
    <w:rsid w:val="00743F8B"/>
    <w:rsid w:val="00751E51"/>
    <w:rsid w:val="00766BDB"/>
    <w:rsid w:val="00784455"/>
    <w:rsid w:val="0079262E"/>
    <w:rsid w:val="00794967"/>
    <w:rsid w:val="00795831"/>
    <w:rsid w:val="007A430B"/>
    <w:rsid w:val="007B12D7"/>
    <w:rsid w:val="007C6A26"/>
    <w:rsid w:val="007D3CD4"/>
    <w:rsid w:val="00812A62"/>
    <w:rsid w:val="00815B9A"/>
    <w:rsid w:val="00833642"/>
    <w:rsid w:val="00834D52"/>
    <w:rsid w:val="008450EA"/>
    <w:rsid w:val="00850106"/>
    <w:rsid w:val="00862F59"/>
    <w:rsid w:val="0087678D"/>
    <w:rsid w:val="0088617E"/>
    <w:rsid w:val="00890D44"/>
    <w:rsid w:val="00892510"/>
    <w:rsid w:val="0089677D"/>
    <w:rsid w:val="008B2A6F"/>
    <w:rsid w:val="008C24CB"/>
    <w:rsid w:val="008C7521"/>
    <w:rsid w:val="008C794F"/>
    <w:rsid w:val="008D04FA"/>
    <w:rsid w:val="008D2581"/>
    <w:rsid w:val="008E19C3"/>
    <w:rsid w:val="0090381F"/>
    <w:rsid w:val="009074C9"/>
    <w:rsid w:val="00910056"/>
    <w:rsid w:val="009119FD"/>
    <w:rsid w:val="0091486A"/>
    <w:rsid w:val="0092799E"/>
    <w:rsid w:val="00935B1E"/>
    <w:rsid w:val="00944205"/>
    <w:rsid w:val="00981135"/>
    <w:rsid w:val="00992AA2"/>
    <w:rsid w:val="009A0733"/>
    <w:rsid w:val="009A1215"/>
    <w:rsid w:val="009A3238"/>
    <w:rsid w:val="009C1933"/>
    <w:rsid w:val="009C51B0"/>
    <w:rsid w:val="009E1865"/>
    <w:rsid w:val="009F379C"/>
    <w:rsid w:val="00A248FF"/>
    <w:rsid w:val="00A30B3C"/>
    <w:rsid w:val="00A362A3"/>
    <w:rsid w:val="00A5012B"/>
    <w:rsid w:val="00A57A56"/>
    <w:rsid w:val="00A600C5"/>
    <w:rsid w:val="00A76BE2"/>
    <w:rsid w:val="00A7782A"/>
    <w:rsid w:val="00AA3E81"/>
    <w:rsid w:val="00AD6F6C"/>
    <w:rsid w:val="00B25ADB"/>
    <w:rsid w:val="00B436B3"/>
    <w:rsid w:val="00B74AD5"/>
    <w:rsid w:val="00C134BA"/>
    <w:rsid w:val="00C15043"/>
    <w:rsid w:val="00C324D2"/>
    <w:rsid w:val="00C43B89"/>
    <w:rsid w:val="00C4782D"/>
    <w:rsid w:val="00C72710"/>
    <w:rsid w:val="00CA7B05"/>
    <w:rsid w:val="00CB00E1"/>
    <w:rsid w:val="00CC3A6F"/>
    <w:rsid w:val="00CF31A2"/>
    <w:rsid w:val="00D008CF"/>
    <w:rsid w:val="00D23958"/>
    <w:rsid w:val="00D2424C"/>
    <w:rsid w:val="00D45EBE"/>
    <w:rsid w:val="00D47489"/>
    <w:rsid w:val="00D56181"/>
    <w:rsid w:val="00D706CB"/>
    <w:rsid w:val="00D71EEF"/>
    <w:rsid w:val="00D82279"/>
    <w:rsid w:val="00D87572"/>
    <w:rsid w:val="00D979CE"/>
    <w:rsid w:val="00DA5CFC"/>
    <w:rsid w:val="00DC0089"/>
    <w:rsid w:val="00DD4137"/>
    <w:rsid w:val="00DE3EB5"/>
    <w:rsid w:val="00E069F6"/>
    <w:rsid w:val="00E07A54"/>
    <w:rsid w:val="00E1110F"/>
    <w:rsid w:val="00E27085"/>
    <w:rsid w:val="00E340C3"/>
    <w:rsid w:val="00E47333"/>
    <w:rsid w:val="00E55ED8"/>
    <w:rsid w:val="00E72B86"/>
    <w:rsid w:val="00E92AE3"/>
    <w:rsid w:val="00EE6154"/>
    <w:rsid w:val="00F216FF"/>
    <w:rsid w:val="00F25223"/>
    <w:rsid w:val="00F331B6"/>
    <w:rsid w:val="00F36480"/>
    <w:rsid w:val="00F53435"/>
    <w:rsid w:val="00F65A8B"/>
    <w:rsid w:val="00F74126"/>
    <w:rsid w:val="00F81471"/>
    <w:rsid w:val="00F912F5"/>
    <w:rsid w:val="00F973AC"/>
    <w:rsid w:val="00FA00A8"/>
    <w:rsid w:val="00FA524E"/>
    <w:rsid w:val="00FB1A01"/>
    <w:rsid w:val="00FB3336"/>
    <w:rsid w:val="00FB4CF5"/>
    <w:rsid w:val="00FC5D0E"/>
    <w:rsid w:val="00FC6BC1"/>
    <w:rsid w:val="21464248"/>
    <w:rsid w:val="2D704CB6"/>
    <w:rsid w:val="33FE3E52"/>
    <w:rsid w:val="43AD1212"/>
    <w:rsid w:val="4A352959"/>
    <w:rsid w:val="4D1273F8"/>
    <w:rsid w:val="638C1DDA"/>
    <w:rsid w:val="731E57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note text"/>
    <w:basedOn w:val="1"/>
    <w:link w:val="8"/>
    <w:unhideWhenUsed/>
    <w:qFormat/>
    <w:uiPriority w:val="99"/>
    <w:pPr>
      <w:snapToGrid w:val="0"/>
      <w:jc w:val="left"/>
    </w:pPr>
    <w:rPr>
      <w:sz w:val="18"/>
      <w:szCs w:val="18"/>
    </w:rPr>
  </w:style>
  <w:style w:type="paragraph" w:styleId="3">
    <w:name w:val="footer"/>
    <w:basedOn w:val="1"/>
    <w:unhideWhenUsed/>
    <w:uiPriority w:val="99"/>
    <w:pPr>
      <w:tabs>
        <w:tab w:val="center" w:pos="4153"/>
        <w:tab w:val="right" w:pos="8306"/>
      </w:tabs>
      <w:snapToGrid w:val="0"/>
      <w:jc w:val="left"/>
    </w:pPr>
    <w:rPr>
      <w:sz w:val="18"/>
    </w:rPr>
  </w:style>
  <w:style w:type="paragraph" w:styleId="4">
    <w:name w:val="header"/>
    <w:basedOn w:val="1"/>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uiPriority w:val="99"/>
    <w:pPr>
      <w:spacing w:before="0" w:beforeAutospacing="1" w:after="0" w:afterAutospacing="1"/>
      <w:ind w:left="0" w:right="0"/>
      <w:jc w:val="left"/>
    </w:pPr>
    <w:rPr>
      <w:kern w:val="0"/>
      <w:sz w:val="24"/>
      <w:lang w:val="en-US" w:eastAsia="zh-CN" w:bidi="ar"/>
    </w:rPr>
  </w:style>
  <w:style w:type="character" w:customStyle="1" w:styleId="8">
    <w:name w:val="脚注文本 Char"/>
    <w:basedOn w:val="7"/>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1</Pages>
  <Words>93</Words>
  <Characters>535</Characters>
  <Lines>4</Lines>
  <Paragraphs>1</Paragraphs>
  <TotalTime>0</TotalTime>
  <ScaleCrop>false</ScaleCrop>
  <LinksUpToDate>false</LinksUpToDate>
  <CharactersWithSpaces>627</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2020-09-01T07:24:00Z</dcterms:created>
  <dc:creator>ouh</dc:creator>
  <cp:lastModifiedBy>张艳</cp:lastModifiedBy>
  <dcterms:modified xsi:type="dcterms:W3CDTF">2020-10-28T02:29:07Z</dcterms:modified>
  <dc:title>景洪市2019年“三公”经费决算情况说明</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