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jc w:val="center"/>
        <w:rPr>
          <w:rFonts w:hint="eastAsia" w:ascii="黑体" w:hAnsi="黑体" w:eastAsia="黑体" w:cs="黑体"/>
          <w:sz w:val="32"/>
          <w:szCs w:val="32"/>
          <w:vertAlign w:val="baseline"/>
          <w:lang w:val="en-US" w:eastAsia="zh-CN"/>
        </w:rPr>
      </w:pPr>
      <w:r>
        <w:rPr>
          <w:rFonts w:hint="eastAsia" w:ascii="黑体" w:hAnsi="黑体" w:eastAsia="黑体" w:cs="黑体"/>
          <w:sz w:val="32"/>
          <w:szCs w:val="32"/>
          <w:vertAlign w:val="baseline"/>
          <w:lang w:val="en-US" w:eastAsia="zh-CN"/>
        </w:rPr>
        <w:t>财税〔2016〕114号等6个文件</w:t>
      </w:r>
    </w:p>
    <w:p>
      <w:pPr>
        <w:jc w:val="center"/>
        <w:rPr>
          <w:rFonts w:hint="default" w:ascii="黑体" w:hAnsi="黑体" w:eastAsia="黑体" w:cs="黑体"/>
          <w:sz w:val="32"/>
          <w:szCs w:val="32"/>
          <w:vertAlign w:val="baseline"/>
          <w:lang w:val="en-US" w:eastAsia="zh-CN"/>
        </w:rPr>
      </w:pPr>
      <w:bookmarkStart w:id="0" w:name="_GoBack"/>
      <w:bookmarkEnd w:id="0"/>
    </w:p>
    <w:tbl>
      <w:tblPr>
        <w:tblStyle w:val="2"/>
        <w:tblW w:w="8947"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82"/>
        <w:gridCol w:w="79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10" w:hRule="atLeast"/>
        </w:trPr>
        <w:tc>
          <w:tcPr>
            <w:tcW w:w="982"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7965"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文件名称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34" w:hRule="atLeast"/>
        </w:trPr>
        <w:tc>
          <w:tcPr>
            <w:tcW w:w="9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7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《财政部 国家税务总局关于保险公司准备金支出企业所得税税前扣除有关政策问题的通知》（财税〔2016〕114号）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34" w:hRule="atLeast"/>
        </w:trPr>
        <w:tc>
          <w:tcPr>
            <w:tcW w:w="9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7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《财政部 税务总局关于中小企业融资（信用）担保机构有关准备金企业所得税税前扣除政策的通知》（财税〔2017〕22号）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34" w:hRule="atLeast"/>
        </w:trPr>
        <w:tc>
          <w:tcPr>
            <w:tcW w:w="9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7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《财政部 税务总局关于证券行业准备金支出企业所得税税前扣除有关政策问题的通知》（财税〔2017〕23号）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34" w:hRule="atLeast"/>
        </w:trPr>
        <w:tc>
          <w:tcPr>
            <w:tcW w:w="9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7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《财政部 税务总局关于上海国际能源交易中心有关风险准备金和期货投资者保障基金支出企业所得税税前扣除政策问题的通知》（财税〔2019〕32号）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34" w:hRule="atLeast"/>
        </w:trPr>
        <w:tc>
          <w:tcPr>
            <w:tcW w:w="9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7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《财政部 税务总局关于金融企业涉农贷款和中小企业贷款损失准备金税前扣除有关政策的公告》（财政部 税务总局公告2019年第85号）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34" w:hRule="atLeast"/>
        </w:trPr>
        <w:tc>
          <w:tcPr>
            <w:tcW w:w="9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79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《财政部 税务总局关于金融企业贷款损失准备金企业所得税税前扣除有关政策的公告》（财政部 税务总局公告2019年第86号）</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4D6B2B"/>
    <w:rsid w:val="34E12A44"/>
    <w:rsid w:val="3E4D6B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adjustRightInd w:val="0"/>
      <w:snapToGrid w:val="0"/>
      <w:spacing w:line="588" w:lineRule="atLeast"/>
      <w:jc w:val="both"/>
    </w:pPr>
    <w:rPr>
      <w:rFonts w:ascii="宋体" w:hAnsi="宋体" w:eastAsia="仿宋_GB2312" w:cs="Times New Roman"/>
      <w:spacing w:val="-2"/>
      <w:kern w:val="2"/>
      <w:sz w:val="32"/>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2021-03-22T10:02:00Z</dcterms:created>
  <dc:creator>Administrator</dc:creator>
  <cp:lastModifiedBy>Administrator</cp:lastModifiedBy>
  <dcterms:modified xsi:type="dcterms:W3CDTF">2021-03-22T10:03:12Z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