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hd w:val="clear" w:color="auto" w:fill="FFFFFF"/>
        <w:spacing w:before="156" w:beforeAutospacing="0" w:after="156" w:afterAutospacing="0" w:line="735" w:lineRule="atLeast"/>
        <w:ind w:firstLine="883"/>
        <w:jc w:val="center"/>
        <w:rPr>
          <w:color w:val="212121"/>
          <w:sz w:val="44"/>
          <w:szCs w:val="44"/>
        </w:rPr>
      </w:pPr>
      <w:r>
        <w:rPr>
          <w:rFonts w:hint="eastAsia"/>
          <w:b/>
          <w:bCs/>
          <w:color w:val="000000"/>
          <w:sz w:val="44"/>
          <w:szCs w:val="44"/>
        </w:rPr>
        <w:t>云南省人民政府令</w:t>
      </w:r>
    </w:p>
    <w:p>
      <w:pPr>
        <w:pStyle w:val="4"/>
        <w:shd w:val="clear" w:color="auto" w:fill="FFFFFF"/>
        <w:spacing w:before="156" w:beforeAutospacing="0" w:after="156" w:afterAutospacing="0" w:line="401" w:lineRule="atLeast"/>
        <w:ind w:firstLine="480"/>
        <w:jc w:val="center"/>
        <w:rPr>
          <w:rFonts w:hint="eastAsia"/>
          <w:color w:val="212121"/>
        </w:rPr>
      </w:pPr>
      <w:r>
        <w:rPr>
          <w:rFonts w:hint="eastAsia"/>
          <w:color w:val="000000"/>
        </w:rPr>
        <w:t>第204号</w:t>
      </w:r>
    </w:p>
    <w:p>
      <w:pPr>
        <w:pStyle w:val="4"/>
        <w:shd w:val="clear" w:color="auto" w:fill="FFFFFF"/>
        <w:spacing w:before="156" w:beforeAutospacing="0" w:after="156" w:afterAutospacing="0" w:line="467" w:lineRule="atLeast"/>
        <w:ind w:firstLine="560"/>
        <w:rPr>
          <w:rFonts w:hint="eastAsia"/>
          <w:color w:val="212121"/>
          <w:sz w:val="28"/>
          <w:szCs w:val="28"/>
        </w:rPr>
      </w:pPr>
      <w:r>
        <w:rPr>
          <w:rFonts w:hint="eastAsia"/>
          <w:color w:val="000000"/>
          <w:sz w:val="28"/>
          <w:szCs w:val="28"/>
        </w:rPr>
        <w:t>《云南省反走私综合治理规定》已经2016年8月30日云南省人民政府第95次常务会议通过，现予公布，自2016年11月1日起施行。</w:t>
      </w:r>
    </w:p>
    <w:p>
      <w:pPr>
        <w:pStyle w:val="4"/>
        <w:shd w:val="clear" w:color="auto" w:fill="FFFFFF"/>
        <w:spacing w:before="156" w:beforeAutospacing="0" w:after="156" w:afterAutospacing="0" w:line="467" w:lineRule="atLeast"/>
        <w:ind w:firstLine="560"/>
        <w:rPr>
          <w:rFonts w:hint="eastAsia"/>
          <w:color w:val="212121"/>
          <w:sz w:val="28"/>
          <w:szCs w:val="28"/>
        </w:rPr>
      </w:pPr>
      <w:r>
        <w:rPr>
          <w:rFonts w:hint="eastAsia"/>
          <w:color w:val="000000"/>
          <w:sz w:val="28"/>
          <w:szCs w:val="28"/>
        </w:rPr>
        <w:t> </w:t>
      </w:r>
    </w:p>
    <w:p>
      <w:pPr>
        <w:pStyle w:val="4"/>
        <w:shd w:val="clear" w:color="auto" w:fill="FFFFFF"/>
        <w:spacing w:before="156" w:beforeAutospacing="0" w:after="156" w:afterAutospacing="0" w:line="467" w:lineRule="atLeast"/>
        <w:ind w:firstLine="560"/>
        <w:rPr>
          <w:rFonts w:hint="eastAsia"/>
          <w:color w:val="212121"/>
          <w:sz w:val="28"/>
          <w:szCs w:val="28"/>
        </w:rPr>
      </w:pPr>
      <w:r>
        <w:rPr>
          <w:rFonts w:hint="eastAsia"/>
          <w:color w:val="000000"/>
          <w:sz w:val="28"/>
          <w:szCs w:val="28"/>
        </w:rPr>
        <w:t> </w:t>
      </w:r>
    </w:p>
    <w:p>
      <w:pPr>
        <w:pStyle w:val="4"/>
        <w:shd w:val="clear" w:color="auto" w:fill="FFFFFF"/>
        <w:spacing w:before="156" w:beforeAutospacing="0" w:after="156" w:afterAutospacing="0" w:line="467" w:lineRule="atLeast"/>
        <w:ind w:firstLine="560"/>
        <w:jc w:val="right"/>
        <w:rPr>
          <w:rFonts w:hint="eastAsia"/>
          <w:color w:val="212121"/>
          <w:sz w:val="28"/>
          <w:szCs w:val="28"/>
        </w:rPr>
      </w:pPr>
      <w:r>
        <w:rPr>
          <w:rFonts w:hint="eastAsia"/>
          <w:color w:val="000000"/>
          <w:sz w:val="28"/>
          <w:szCs w:val="28"/>
        </w:rPr>
        <w:t>省</w:t>
      </w:r>
      <w:r>
        <w:rPr>
          <w:rStyle w:val="9"/>
          <w:rFonts w:hint="eastAsia"/>
          <w:color w:val="000000"/>
          <w:sz w:val="28"/>
          <w:szCs w:val="28"/>
        </w:rPr>
        <w:t> </w:t>
      </w:r>
      <w:r>
        <w:rPr>
          <w:rFonts w:hint="eastAsia"/>
          <w:color w:val="000000"/>
          <w:sz w:val="28"/>
          <w:szCs w:val="28"/>
        </w:rPr>
        <w:t>长 </w:t>
      </w:r>
      <w:r>
        <w:rPr>
          <w:rStyle w:val="9"/>
          <w:rFonts w:hint="eastAsia"/>
          <w:color w:val="000000"/>
          <w:sz w:val="28"/>
          <w:szCs w:val="28"/>
        </w:rPr>
        <w:t> </w:t>
      </w:r>
      <w:r>
        <w:rPr>
          <w:rFonts w:hint="eastAsia"/>
          <w:color w:val="000000"/>
          <w:sz w:val="28"/>
          <w:szCs w:val="28"/>
        </w:rPr>
        <w:t>陈 豪</w:t>
      </w:r>
    </w:p>
    <w:p>
      <w:pPr>
        <w:pStyle w:val="4"/>
        <w:shd w:val="clear" w:color="auto" w:fill="FFFFFF"/>
        <w:spacing w:before="156" w:beforeAutospacing="0" w:after="156" w:afterAutospacing="0" w:line="467" w:lineRule="atLeast"/>
        <w:ind w:firstLine="560"/>
        <w:jc w:val="right"/>
        <w:rPr>
          <w:rFonts w:hint="eastAsia"/>
          <w:color w:val="212121"/>
          <w:sz w:val="28"/>
          <w:szCs w:val="28"/>
        </w:rPr>
      </w:pPr>
      <w:r>
        <w:rPr>
          <w:rFonts w:hint="eastAsia"/>
          <w:color w:val="000000"/>
          <w:sz w:val="28"/>
          <w:szCs w:val="28"/>
        </w:rPr>
        <w:t>2016年9月22日 </w:t>
      </w:r>
    </w:p>
    <w:p>
      <w:pPr>
        <w:pStyle w:val="4"/>
        <w:shd w:val="clear" w:color="auto" w:fill="FFFFFF"/>
        <w:spacing w:before="0" w:beforeAutospacing="0" w:after="0" w:afterAutospacing="0" w:line="316" w:lineRule="atLeast"/>
        <w:jc w:val="center"/>
        <w:rPr>
          <w:rFonts w:hint="eastAsia"/>
          <w:color w:val="212121"/>
          <w:sz w:val="18"/>
          <w:szCs w:val="18"/>
        </w:rPr>
      </w:pPr>
      <w:r>
        <w:rPr>
          <w:rFonts w:ascii="Times New Roman" w:hAnsi="Times New Roman" w:cs="Times New Roman"/>
          <w:color w:val="212121"/>
          <w:sz w:val="28"/>
          <w:szCs w:val="28"/>
        </w:rPr>
        <w:t> </w:t>
      </w:r>
    </w:p>
    <w:p>
      <w:pPr>
        <w:pStyle w:val="4"/>
        <w:shd w:val="clear" w:color="auto" w:fill="FFFFFF"/>
        <w:spacing w:before="0" w:beforeAutospacing="0" w:after="0" w:afterAutospacing="0" w:line="316" w:lineRule="atLeast"/>
        <w:jc w:val="center"/>
        <w:rPr>
          <w:rFonts w:hint="eastAsia"/>
          <w:color w:val="212121"/>
          <w:sz w:val="18"/>
          <w:szCs w:val="18"/>
        </w:rPr>
      </w:pPr>
      <w:r>
        <w:rPr>
          <w:rFonts w:ascii="Times New Roman" w:hAnsi="Times New Roman" w:cs="Times New Roman"/>
          <w:color w:val="212121"/>
          <w:sz w:val="21"/>
          <w:szCs w:val="21"/>
        </w:rPr>
        <w:t> </w:t>
      </w:r>
    </w:p>
    <w:p>
      <w:pPr>
        <w:pStyle w:val="4"/>
        <w:shd w:val="clear" w:color="auto" w:fill="FFFFFF"/>
        <w:spacing w:before="0" w:beforeAutospacing="0" w:after="0" w:afterAutospacing="0" w:line="316" w:lineRule="atLeast"/>
        <w:jc w:val="center"/>
        <w:rPr>
          <w:rFonts w:hint="eastAsia"/>
          <w:color w:val="212121"/>
          <w:sz w:val="18"/>
          <w:szCs w:val="18"/>
        </w:rPr>
      </w:pPr>
      <w:r>
        <w:rPr>
          <w:rFonts w:ascii="Times New Roman" w:hAnsi="Times New Roman" w:cs="Times New Roman"/>
          <w:color w:val="212121"/>
          <w:sz w:val="21"/>
          <w:szCs w:val="21"/>
        </w:rPr>
        <w:t> </w:t>
      </w:r>
    </w:p>
    <w:p>
      <w:pPr>
        <w:pStyle w:val="4"/>
        <w:shd w:val="clear" w:color="auto" w:fill="FFFFFF"/>
        <w:spacing w:before="0" w:beforeAutospacing="0" w:after="0" w:afterAutospacing="0" w:line="316" w:lineRule="atLeast"/>
        <w:jc w:val="center"/>
        <w:rPr>
          <w:rFonts w:hint="eastAsia"/>
          <w:color w:val="212121"/>
          <w:sz w:val="18"/>
          <w:szCs w:val="18"/>
        </w:rPr>
      </w:pPr>
      <w:r>
        <w:rPr>
          <w:rFonts w:ascii="Times New Roman" w:hAnsi="Times New Roman" w:cs="Times New Roman"/>
          <w:color w:val="212121"/>
          <w:sz w:val="21"/>
          <w:szCs w:val="21"/>
        </w:rPr>
        <w:t>  </w:t>
      </w:r>
    </w:p>
    <w:p>
      <w:pPr>
        <w:pStyle w:val="4"/>
        <w:shd w:val="clear" w:color="auto" w:fill="FFFFFF"/>
        <w:spacing w:before="0" w:beforeAutospacing="0" w:after="0" w:afterAutospacing="0" w:line="316" w:lineRule="atLeast"/>
        <w:jc w:val="center"/>
        <w:rPr>
          <w:rFonts w:hint="eastAsia"/>
          <w:color w:val="212121"/>
          <w:sz w:val="18"/>
          <w:szCs w:val="18"/>
        </w:rPr>
      </w:pPr>
      <w:r>
        <w:rPr>
          <w:rFonts w:ascii="Times New Roman" w:hAnsi="Times New Roman" w:cs="Times New Roman"/>
          <w:color w:val="212121"/>
          <w:sz w:val="21"/>
          <w:szCs w:val="21"/>
        </w:rPr>
        <w:t> </w:t>
      </w:r>
    </w:p>
    <w:p>
      <w:pPr>
        <w:pStyle w:val="4"/>
        <w:shd w:val="clear" w:color="auto" w:fill="FFFFFF"/>
        <w:spacing w:before="0" w:beforeAutospacing="0" w:after="0" w:afterAutospacing="0" w:line="316" w:lineRule="atLeast"/>
        <w:jc w:val="both"/>
        <w:rPr>
          <w:rFonts w:hint="eastAsia"/>
          <w:color w:val="212121"/>
          <w:sz w:val="18"/>
          <w:szCs w:val="18"/>
        </w:rPr>
      </w:pPr>
      <w:r>
        <w:rPr>
          <w:rFonts w:ascii="Times New Roman" w:hAnsi="Times New Roman" w:cs="Times New Roman"/>
          <w:color w:val="212121"/>
          <w:sz w:val="21"/>
          <w:szCs w:val="21"/>
        </w:rPr>
        <w:t> </w:t>
      </w:r>
    </w:p>
    <w:p>
      <w:pPr>
        <w:pStyle w:val="4"/>
        <w:shd w:val="clear" w:color="auto" w:fill="FFFFFF"/>
        <w:spacing w:before="0" w:beforeAutospacing="0" w:after="0" w:afterAutospacing="0" w:line="735" w:lineRule="atLeast"/>
        <w:jc w:val="center"/>
        <w:rPr>
          <w:rFonts w:hint="eastAsia"/>
          <w:color w:val="212121"/>
          <w:sz w:val="44"/>
          <w:szCs w:val="44"/>
        </w:rPr>
      </w:pPr>
      <w:r>
        <w:rPr>
          <w:rFonts w:hint="eastAsia"/>
          <w:b/>
          <w:bCs/>
          <w:color w:val="000000"/>
          <w:sz w:val="44"/>
          <w:szCs w:val="44"/>
        </w:rPr>
        <w:t>云南省反走私综合治理规定</w:t>
      </w:r>
    </w:p>
    <w:p>
      <w:pPr>
        <w:pStyle w:val="4"/>
        <w:shd w:val="clear" w:color="auto" w:fill="FFFFFF"/>
        <w:spacing w:before="0" w:beforeAutospacing="0" w:after="0" w:afterAutospacing="0" w:line="735" w:lineRule="atLeast"/>
        <w:jc w:val="center"/>
        <w:rPr>
          <w:rFonts w:hint="eastAsia"/>
          <w:color w:val="212121"/>
          <w:sz w:val="44"/>
          <w:szCs w:val="44"/>
        </w:rPr>
      </w:pPr>
      <w:r>
        <w:rPr>
          <w:rFonts w:hint="eastAsia"/>
          <w:color w:val="000000"/>
          <w:sz w:val="44"/>
          <w:szCs w:val="44"/>
        </w:rPr>
        <w:t> </w:t>
      </w:r>
    </w:p>
    <w:p>
      <w:pPr>
        <w:pStyle w:val="4"/>
        <w:shd w:val="clear" w:color="auto" w:fill="FFFFFF"/>
        <w:spacing w:before="156" w:beforeAutospacing="0" w:after="156" w:afterAutospacing="0" w:line="467" w:lineRule="atLeast"/>
        <w:ind w:firstLine="562"/>
        <w:rPr>
          <w:rFonts w:hint="eastAsia"/>
          <w:color w:val="212121"/>
          <w:sz w:val="28"/>
          <w:szCs w:val="28"/>
        </w:rPr>
      </w:pPr>
      <w:r>
        <w:rPr>
          <w:rFonts w:hint="eastAsia"/>
          <w:b/>
          <w:bCs/>
          <w:color w:val="000000"/>
          <w:sz w:val="28"/>
          <w:szCs w:val="28"/>
        </w:rPr>
        <w:t>第一条</w:t>
      </w:r>
      <w:r>
        <w:rPr>
          <w:rStyle w:val="9"/>
          <w:rFonts w:hint="eastAsia"/>
          <w:color w:val="000000"/>
          <w:sz w:val="28"/>
          <w:szCs w:val="28"/>
        </w:rPr>
        <w:t> </w:t>
      </w:r>
      <w:r>
        <w:rPr>
          <w:rFonts w:hint="eastAsia"/>
          <w:color w:val="000000"/>
          <w:sz w:val="28"/>
          <w:szCs w:val="28"/>
        </w:rPr>
        <w:t>为了规范反走私综合治理工作，有效预防和打击走私行为，根据有关法律、法规，结合本省实际，制定本规定。</w:t>
      </w:r>
    </w:p>
    <w:p>
      <w:pPr>
        <w:pStyle w:val="4"/>
        <w:shd w:val="clear" w:color="auto" w:fill="FFFFFF"/>
        <w:spacing w:before="156" w:beforeAutospacing="0" w:after="156" w:afterAutospacing="0" w:line="467" w:lineRule="atLeast"/>
        <w:ind w:firstLine="562"/>
        <w:rPr>
          <w:rFonts w:hint="eastAsia"/>
          <w:color w:val="212121"/>
          <w:sz w:val="28"/>
          <w:szCs w:val="28"/>
        </w:rPr>
      </w:pPr>
      <w:r>
        <w:rPr>
          <w:rFonts w:hint="eastAsia"/>
          <w:b/>
          <w:bCs/>
          <w:color w:val="000000"/>
          <w:sz w:val="28"/>
          <w:szCs w:val="28"/>
        </w:rPr>
        <w:t>第二条</w:t>
      </w:r>
      <w:r>
        <w:rPr>
          <w:rStyle w:val="9"/>
          <w:rFonts w:hint="eastAsia"/>
          <w:color w:val="000000"/>
          <w:sz w:val="28"/>
          <w:szCs w:val="28"/>
        </w:rPr>
        <w:t> </w:t>
      </w:r>
      <w:r>
        <w:rPr>
          <w:rFonts w:hint="eastAsia"/>
          <w:color w:val="000000"/>
          <w:sz w:val="28"/>
          <w:szCs w:val="28"/>
        </w:rPr>
        <w:t>县级以上人民政府应当建立反走私综合治理工作机制，明确有关部门工作职责，制定工作目标责任制，将反走私综合治理工作纳入社会治安综合治理考核，将所需经费列入同级财政预算。</w:t>
      </w:r>
    </w:p>
    <w:p>
      <w:pPr>
        <w:pStyle w:val="4"/>
        <w:shd w:val="clear" w:color="auto" w:fill="FFFFFF"/>
        <w:spacing w:before="156" w:beforeAutospacing="0" w:after="156" w:afterAutospacing="0" w:line="467" w:lineRule="atLeast"/>
        <w:ind w:firstLine="560"/>
        <w:rPr>
          <w:rFonts w:hint="eastAsia"/>
          <w:color w:val="212121"/>
          <w:sz w:val="28"/>
          <w:szCs w:val="28"/>
        </w:rPr>
      </w:pPr>
      <w:r>
        <w:rPr>
          <w:rFonts w:hint="eastAsia"/>
          <w:color w:val="000000"/>
          <w:sz w:val="28"/>
          <w:szCs w:val="28"/>
        </w:rPr>
        <w:t>沿边乡（镇）人民政府、街道办事处应当建立基层预防走私工作机制，加强反走私综合治理宣传教育工作，按照职责负责做好反走私综合治理有关工作。村（居）民委员会在乡（镇）人民政府、街道办事处的指导下，配合做好反走私综合治理有关工作。</w:t>
      </w:r>
    </w:p>
    <w:p>
      <w:pPr>
        <w:pStyle w:val="4"/>
        <w:shd w:val="clear" w:color="auto" w:fill="FFFFFF"/>
        <w:spacing w:before="156" w:beforeAutospacing="0" w:after="156" w:afterAutospacing="0" w:line="467" w:lineRule="atLeast"/>
        <w:ind w:firstLine="562"/>
        <w:rPr>
          <w:rFonts w:hint="eastAsia"/>
          <w:color w:val="212121"/>
          <w:sz w:val="28"/>
          <w:szCs w:val="28"/>
        </w:rPr>
      </w:pPr>
      <w:r>
        <w:rPr>
          <w:rFonts w:hint="eastAsia"/>
          <w:b/>
          <w:bCs/>
          <w:color w:val="000000"/>
          <w:sz w:val="28"/>
          <w:szCs w:val="28"/>
        </w:rPr>
        <w:t>第三条</w:t>
      </w:r>
      <w:r>
        <w:rPr>
          <w:rStyle w:val="9"/>
          <w:rFonts w:hint="eastAsia"/>
          <w:color w:val="000000"/>
          <w:sz w:val="28"/>
          <w:szCs w:val="28"/>
        </w:rPr>
        <w:t> </w:t>
      </w:r>
      <w:r>
        <w:rPr>
          <w:rFonts w:hint="eastAsia"/>
          <w:color w:val="000000"/>
          <w:sz w:val="28"/>
          <w:szCs w:val="28"/>
        </w:rPr>
        <w:t>县级以上人民政府反走私综合治理工作机构（以下简称综治机构）具体负责反走私综合治理的组织、指导、协调、监督、检查等工作。</w:t>
      </w:r>
    </w:p>
    <w:p>
      <w:pPr>
        <w:pStyle w:val="4"/>
        <w:shd w:val="clear" w:color="auto" w:fill="FFFFFF"/>
        <w:spacing w:before="156" w:beforeAutospacing="0" w:after="156" w:afterAutospacing="0" w:line="467" w:lineRule="atLeast"/>
        <w:ind w:firstLine="560"/>
        <w:rPr>
          <w:rFonts w:hint="eastAsia"/>
          <w:color w:val="212121"/>
          <w:sz w:val="28"/>
          <w:szCs w:val="28"/>
        </w:rPr>
      </w:pPr>
      <w:r>
        <w:rPr>
          <w:rFonts w:hint="eastAsia"/>
          <w:color w:val="000000"/>
          <w:sz w:val="28"/>
          <w:szCs w:val="28"/>
        </w:rPr>
        <w:t>海关、出入境检验检疫、公安（边防）、市场监管（工商行政管理、质量技术监督、食品药品监督）、环境保护、交通运输、税务、烟草、农业、林业、粮食、外事、商务、口岸管理等执法部门应当按照各自的职责，做好反走私综合治理工作。</w:t>
      </w:r>
    </w:p>
    <w:p>
      <w:pPr>
        <w:pStyle w:val="4"/>
        <w:shd w:val="clear" w:color="auto" w:fill="FFFFFF"/>
        <w:spacing w:before="156" w:beforeAutospacing="0" w:after="156" w:afterAutospacing="0" w:line="467" w:lineRule="atLeast"/>
        <w:ind w:firstLine="560"/>
        <w:rPr>
          <w:rFonts w:hint="eastAsia"/>
          <w:color w:val="212121"/>
          <w:sz w:val="28"/>
          <w:szCs w:val="28"/>
        </w:rPr>
      </w:pPr>
      <w:r>
        <w:rPr>
          <w:rFonts w:hint="eastAsia"/>
          <w:color w:val="000000"/>
          <w:sz w:val="28"/>
          <w:szCs w:val="28"/>
        </w:rPr>
        <w:t>公路、铁路、民航、邮政等有关单位按照职责，配合做好反走私综合治理有关工作。</w:t>
      </w:r>
    </w:p>
    <w:p>
      <w:pPr>
        <w:pStyle w:val="4"/>
        <w:shd w:val="clear" w:color="auto" w:fill="FFFFFF"/>
        <w:spacing w:before="156" w:beforeAutospacing="0" w:after="156" w:afterAutospacing="0" w:line="467" w:lineRule="atLeast"/>
        <w:ind w:firstLine="562"/>
        <w:rPr>
          <w:rFonts w:hint="eastAsia"/>
          <w:color w:val="212121"/>
          <w:sz w:val="28"/>
          <w:szCs w:val="28"/>
        </w:rPr>
      </w:pPr>
      <w:r>
        <w:rPr>
          <w:rFonts w:hint="eastAsia"/>
          <w:b/>
          <w:bCs/>
          <w:color w:val="000000"/>
          <w:sz w:val="28"/>
          <w:szCs w:val="28"/>
        </w:rPr>
        <w:t>第四条</w:t>
      </w:r>
      <w:r>
        <w:rPr>
          <w:rStyle w:val="9"/>
          <w:rFonts w:hint="eastAsia"/>
          <w:color w:val="000000"/>
          <w:sz w:val="28"/>
          <w:szCs w:val="28"/>
        </w:rPr>
        <w:t> </w:t>
      </w:r>
      <w:r>
        <w:rPr>
          <w:rFonts w:hint="eastAsia"/>
          <w:color w:val="000000"/>
          <w:sz w:val="28"/>
          <w:szCs w:val="28"/>
        </w:rPr>
        <w:t>县级以上人民政府应当组织开展反走私联合行动和专项行动，对走私高发区域、重点渠道、走私相对集中的商品实施联合行动和专项查处。</w:t>
      </w:r>
    </w:p>
    <w:p>
      <w:pPr>
        <w:pStyle w:val="4"/>
        <w:shd w:val="clear" w:color="auto" w:fill="FFFFFF"/>
        <w:spacing w:before="156" w:beforeAutospacing="0" w:after="156" w:afterAutospacing="0" w:line="467" w:lineRule="atLeast"/>
        <w:ind w:firstLine="560"/>
        <w:rPr>
          <w:rFonts w:hint="eastAsia"/>
          <w:color w:val="212121"/>
          <w:sz w:val="28"/>
          <w:szCs w:val="28"/>
        </w:rPr>
      </w:pPr>
      <w:r>
        <w:rPr>
          <w:rFonts w:hint="eastAsia"/>
          <w:color w:val="000000"/>
          <w:sz w:val="28"/>
          <w:szCs w:val="28"/>
        </w:rPr>
        <w:t>沿边各级人民政府应当组织开展反走私联合巡查和机动查缉，加强海关监管区以外的陆路查缉和河道巡航查缉，有效封堵或者切断私开的进出境通道，依法及时拆除私建的边境码头。</w:t>
      </w:r>
    </w:p>
    <w:p>
      <w:pPr>
        <w:pStyle w:val="4"/>
        <w:shd w:val="clear" w:color="auto" w:fill="FFFFFF"/>
        <w:spacing w:before="156" w:beforeAutospacing="0" w:after="156" w:afterAutospacing="0" w:line="467" w:lineRule="atLeast"/>
        <w:ind w:firstLine="560"/>
        <w:rPr>
          <w:rFonts w:hint="eastAsia"/>
          <w:color w:val="212121"/>
          <w:sz w:val="28"/>
          <w:szCs w:val="28"/>
        </w:rPr>
      </w:pPr>
      <w:r>
        <w:rPr>
          <w:rFonts w:hint="eastAsia"/>
          <w:color w:val="000000"/>
          <w:sz w:val="28"/>
          <w:szCs w:val="28"/>
        </w:rPr>
        <w:t>公安（边防）、外事、口岸管理等部门应当依法及时查处破坏边境沿线反走私基础设施、私开进出境通道、私建边境码头等行为。</w:t>
      </w:r>
    </w:p>
    <w:p>
      <w:pPr>
        <w:pStyle w:val="4"/>
        <w:shd w:val="clear" w:color="auto" w:fill="FFFFFF"/>
        <w:spacing w:before="156" w:beforeAutospacing="0" w:after="156" w:afterAutospacing="0" w:line="467" w:lineRule="atLeast"/>
        <w:ind w:firstLine="562"/>
        <w:rPr>
          <w:rFonts w:hint="eastAsia"/>
          <w:color w:val="212121"/>
          <w:sz w:val="28"/>
          <w:szCs w:val="28"/>
        </w:rPr>
      </w:pPr>
      <w:r>
        <w:rPr>
          <w:rFonts w:hint="eastAsia"/>
          <w:b/>
          <w:bCs/>
          <w:color w:val="000000"/>
          <w:sz w:val="28"/>
          <w:szCs w:val="28"/>
        </w:rPr>
        <w:t>第五条</w:t>
      </w:r>
      <w:r>
        <w:rPr>
          <w:rStyle w:val="9"/>
          <w:rFonts w:hint="eastAsia"/>
          <w:color w:val="000000"/>
          <w:sz w:val="28"/>
          <w:szCs w:val="28"/>
        </w:rPr>
        <w:t> </w:t>
      </w:r>
      <w:r>
        <w:rPr>
          <w:rFonts w:hint="eastAsia"/>
          <w:color w:val="000000"/>
          <w:sz w:val="28"/>
          <w:szCs w:val="28"/>
        </w:rPr>
        <w:t>综治机构应当建立反走私综合治理预警监测机制和信息通报制度，及时收集、汇总、分析涉嫌走私案件信息和必要的货运数据，加强资源共享和协作联动。</w:t>
      </w:r>
    </w:p>
    <w:p>
      <w:pPr>
        <w:pStyle w:val="4"/>
        <w:shd w:val="clear" w:color="auto" w:fill="FFFFFF"/>
        <w:spacing w:before="156" w:beforeAutospacing="0" w:after="156" w:afterAutospacing="0" w:line="467" w:lineRule="atLeast"/>
        <w:ind w:firstLine="562"/>
        <w:rPr>
          <w:rFonts w:hint="eastAsia"/>
          <w:color w:val="212121"/>
          <w:sz w:val="28"/>
          <w:szCs w:val="28"/>
        </w:rPr>
      </w:pPr>
      <w:r>
        <w:rPr>
          <w:rFonts w:hint="eastAsia"/>
          <w:b/>
          <w:bCs/>
          <w:color w:val="000000"/>
          <w:sz w:val="28"/>
          <w:szCs w:val="28"/>
        </w:rPr>
        <w:t>第六条</w:t>
      </w:r>
      <w:r>
        <w:rPr>
          <w:rStyle w:val="9"/>
          <w:rFonts w:hint="eastAsia"/>
          <w:color w:val="000000"/>
          <w:sz w:val="28"/>
          <w:szCs w:val="28"/>
        </w:rPr>
        <w:t> </w:t>
      </w:r>
      <w:r>
        <w:rPr>
          <w:rFonts w:hint="eastAsia"/>
          <w:color w:val="000000"/>
          <w:sz w:val="28"/>
          <w:szCs w:val="28"/>
        </w:rPr>
        <w:t>县级以上人民政府应当组织有关部门建立进出口企业诚信守法管理制度，建立企业信用档案，并将进出口企业诚信管理信息纳入行政管理部门企业信用信息系统，实行动态管理。</w:t>
      </w:r>
    </w:p>
    <w:p>
      <w:pPr>
        <w:pStyle w:val="4"/>
        <w:shd w:val="clear" w:color="auto" w:fill="FFFFFF"/>
        <w:spacing w:before="156" w:beforeAutospacing="0" w:after="156" w:afterAutospacing="0" w:line="467" w:lineRule="atLeast"/>
        <w:ind w:firstLine="560"/>
        <w:rPr>
          <w:rFonts w:hint="eastAsia"/>
          <w:color w:val="212121"/>
          <w:sz w:val="28"/>
          <w:szCs w:val="28"/>
        </w:rPr>
      </w:pPr>
      <w:r>
        <w:rPr>
          <w:rFonts w:hint="eastAsia"/>
          <w:color w:val="000000"/>
          <w:sz w:val="28"/>
          <w:szCs w:val="28"/>
        </w:rPr>
        <w:t>反走私执法部门应当对有从事走私和经营无合法来源进口商品违法行为等不良信用记录的经营者进行重点检查，并通过企业信用信息系统或者政务网站等其他信息平台，及时公开其违法行为的查处结果。</w:t>
      </w:r>
    </w:p>
    <w:p>
      <w:pPr>
        <w:pStyle w:val="4"/>
        <w:shd w:val="clear" w:color="auto" w:fill="FFFFFF"/>
        <w:spacing w:before="156" w:beforeAutospacing="0" w:after="156" w:afterAutospacing="0" w:line="467" w:lineRule="atLeast"/>
        <w:ind w:firstLine="562"/>
        <w:rPr>
          <w:rFonts w:hint="eastAsia"/>
          <w:color w:val="212121"/>
          <w:sz w:val="28"/>
          <w:szCs w:val="28"/>
        </w:rPr>
      </w:pPr>
      <w:r>
        <w:rPr>
          <w:rFonts w:hint="eastAsia"/>
          <w:b/>
          <w:bCs/>
          <w:color w:val="000000"/>
          <w:sz w:val="28"/>
          <w:szCs w:val="28"/>
        </w:rPr>
        <w:t>第七条</w:t>
      </w:r>
      <w:r>
        <w:rPr>
          <w:rStyle w:val="9"/>
          <w:rFonts w:hint="eastAsia"/>
          <w:color w:val="000000"/>
          <w:sz w:val="28"/>
          <w:szCs w:val="28"/>
        </w:rPr>
        <w:t> </w:t>
      </w:r>
      <w:r>
        <w:rPr>
          <w:rFonts w:hint="eastAsia"/>
          <w:color w:val="000000"/>
          <w:sz w:val="28"/>
          <w:szCs w:val="28"/>
        </w:rPr>
        <w:t>市场监管、农业、林业、粮食等部门应当加强商品流通领域的监管，依法重点查处经营无合法来源的冰冻类产品、活体偶蹄动物、粮食、种子、木材、食糖等进口货物、物品的违法行为，取缔相关货物的集散地和经营场所。</w:t>
      </w:r>
    </w:p>
    <w:p>
      <w:pPr>
        <w:pStyle w:val="4"/>
        <w:shd w:val="clear" w:color="auto" w:fill="FFFFFF"/>
        <w:spacing w:before="156" w:beforeAutospacing="0" w:after="156" w:afterAutospacing="0" w:line="467" w:lineRule="atLeast"/>
        <w:ind w:firstLine="562"/>
        <w:rPr>
          <w:rFonts w:hint="eastAsia"/>
          <w:color w:val="212121"/>
          <w:sz w:val="28"/>
          <w:szCs w:val="28"/>
        </w:rPr>
      </w:pPr>
      <w:r>
        <w:rPr>
          <w:rFonts w:hint="eastAsia"/>
          <w:b/>
          <w:bCs/>
          <w:color w:val="000000"/>
          <w:sz w:val="28"/>
          <w:szCs w:val="28"/>
        </w:rPr>
        <w:t>第八条</w:t>
      </w:r>
      <w:r>
        <w:rPr>
          <w:rStyle w:val="9"/>
          <w:rFonts w:hint="eastAsia"/>
          <w:color w:val="000000"/>
          <w:sz w:val="28"/>
          <w:szCs w:val="28"/>
        </w:rPr>
        <w:t> </w:t>
      </w:r>
      <w:r>
        <w:rPr>
          <w:rFonts w:hint="eastAsia"/>
          <w:color w:val="000000"/>
          <w:sz w:val="28"/>
          <w:szCs w:val="28"/>
        </w:rPr>
        <w:t>公安（边防）、交通运输、农业等部门按照职责负责交通运输工具的管理，建立健全相关信息和档案资料，预防和惩治利用车辆、船舶进行走私活动。</w:t>
      </w:r>
    </w:p>
    <w:p>
      <w:pPr>
        <w:pStyle w:val="4"/>
        <w:shd w:val="clear" w:color="auto" w:fill="FFFFFF"/>
        <w:spacing w:before="156" w:beforeAutospacing="0" w:after="156" w:afterAutospacing="0" w:line="467" w:lineRule="atLeast"/>
        <w:ind w:firstLine="560"/>
        <w:rPr>
          <w:rFonts w:hint="eastAsia"/>
          <w:color w:val="212121"/>
          <w:sz w:val="28"/>
          <w:szCs w:val="28"/>
        </w:rPr>
      </w:pPr>
      <w:r>
        <w:rPr>
          <w:rFonts w:hint="eastAsia"/>
          <w:color w:val="000000"/>
          <w:sz w:val="28"/>
          <w:szCs w:val="28"/>
        </w:rPr>
        <w:t>铁路、公路、水路、航空等运输经营单位应当严格执行货物运输登记管理制度，发现运输货物涉嫌走私或者无合法来源的，应当及时报告反走私执法部门。</w:t>
      </w:r>
    </w:p>
    <w:p>
      <w:pPr>
        <w:pStyle w:val="4"/>
        <w:shd w:val="clear" w:color="auto" w:fill="FFFFFF"/>
        <w:spacing w:before="156" w:beforeAutospacing="0" w:after="156" w:afterAutospacing="0" w:line="467" w:lineRule="atLeast"/>
        <w:ind w:firstLine="562"/>
        <w:rPr>
          <w:rFonts w:hint="eastAsia"/>
          <w:color w:val="212121"/>
          <w:sz w:val="28"/>
          <w:szCs w:val="28"/>
        </w:rPr>
      </w:pPr>
      <w:r>
        <w:rPr>
          <w:rFonts w:hint="eastAsia"/>
          <w:b/>
          <w:bCs/>
          <w:color w:val="000000"/>
          <w:sz w:val="28"/>
          <w:szCs w:val="28"/>
        </w:rPr>
        <w:t>第九条</w:t>
      </w:r>
      <w:r>
        <w:rPr>
          <w:rFonts w:hint="eastAsia"/>
          <w:color w:val="000000"/>
          <w:sz w:val="28"/>
          <w:szCs w:val="28"/>
        </w:rPr>
        <w:t> 禁止经营无合法来源的进口货物、物品；禁止为他人走私或者经营无合法来源的进口货物、物品提供运输、仓储、广告等服务。</w:t>
      </w:r>
    </w:p>
    <w:p>
      <w:pPr>
        <w:pStyle w:val="4"/>
        <w:shd w:val="clear" w:color="auto" w:fill="FFFFFF"/>
        <w:spacing w:before="156" w:beforeAutospacing="0" w:after="156" w:afterAutospacing="0" w:line="467" w:lineRule="atLeast"/>
        <w:ind w:firstLine="560"/>
        <w:rPr>
          <w:rFonts w:hint="eastAsia"/>
          <w:color w:val="212121"/>
          <w:sz w:val="28"/>
          <w:szCs w:val="28"/>
        </w:rPr>
      </w:pPr>
      <w:r>
        <w:rPr>
          <w:rFonts w:hint="eastAsia"/>
          <w:color w:val="000000"/>
          <w:sz w:val="28"/>
          <w:szCs w:val="28"/>
        </w:rPr>
        <w:t>进口货物、物品持有者在办理运输、仓储、广告时，应当提供合法来源证明。不提供合法来源证明的，有关单位有权拒绝提供服务。</w:t>
      </w:r>
    </w:p>
    <w:p>
      <w:pPr>
        <w:pStyle w:val="4"/>
        <w:shd w:val="clear" w:color="auto" w:fill="FFFFFF"/>
        <w:spacing w:before="156" w:beforeAutospacing="0" w:after="156" w:afterAutospacing="0" w:line="467" w:lineRule="atLeast"/>
        <w:ind w:firstLine="560"/>
        <w:rPr>
          <w:rFonts w:hint="eastAsia"/>
          <w:color w:val="212121"/>
          <w:sz w:val="28"/>
          <w:szCs w:val="28"/>
        </w:rPr>
      </w:pPr>
      <w:r>
        <w:rPr>
          <w:rFonts w:hint="eastAsia"/>
          <w:color w:val="000000"/>
          <w:sz w:val="28"/>
          <w:szCs w:val="28"/>
        </w:rPr>
        <w:t>边境小额贸易、边民互市贸易进口商品的管理，按照国家和本省的相关规定执行。</w:t>
      </w:r>
    </w:p>
    <w:p>
      <w:pPr>
        <w:pStyle w:val="4"/>
        <w:shd w:val="clear" w:color="auto" w:fill="FFFFFF"/>
        <w:spacing w:before="156" w:beforeAutospacing="0" w:after="156" w:afterAutospacing="0" w:line="467" w:lineRule="atLeast"/>
        <w:ind w:firstLine="562"/>
        <w:rPr>
          <w:rFonts w:hint="eastAsia"/>
          <w:color w:val="212121"/>
          <w:sz w:val="28"/>
          <w:szCs w:val="28"/>
        </w:rPr>
      </w:pPr>
      <w:r>
        <w:rPr>
          <w:rFonts w:hint="eastAsia"/>
          <w:b/>
          <w:bCs/>
          <w:color w:val="000000"/>
          <w:sz w:val="28"/>
          <w:szCs w:val="28"/>
        </w:rPr>
        <w:t>第十条</w:t>
      </w:r>
      <w:r>
        <w:rPr>
          <w:rStyle w:val="9"/>
          <w:rFonts w:hint="eastAsia"/>
          <w:color w:val="000000"/>
          <w:sz w:val="28"/>
          <w:szCs w:val="28"/>
        </w:rPr>
        <w:t> </w:t>
      </w:r>
      <w:r>
        <w:rPr>
          <w:rFonts w:hint="eastAsia"/>
          <w:color w:val="000000"/>
          <w:sz w:val="28"/>
          <w:szCs w:val="28"/>
        </w:rPr>
        <w:t>反走私执法部门应当公布其反走私工作职责、案件受理范围、举报投诉电话、信箱（电子邮箱）和通信地址。实行举报投诉首办责任制，属于受理范围的，应当及时受理并答复；不属于受理范围的，应当移交其他反走私执法部门并书面告知投诉举报人。因管辖、受理范围发生争议的，由综治机构协调或者指定部门受理。</w:t>
      </w:r>
    </w:p>
    <w:p>
      <w:pPr>
        <w:pStyle w:val="4"/>
        <w:shd w:val="clear" w:color="auto" w:fill="FFFFFF"/>
        <w:spacing w:before="156" w:beforeAutospacing="0" w:after="156" w:afterAutospacing="0" w:line="467" w:lineRule="atLeast"/>
        <w:ind w:firstLine="560"/>
        <w:rPr>
          <w:rFonts w:hint="eastAsia"/>
          <w:color w:val="212121"/>
          <w:sz w:val="28"/>
          <w:szCs w:val="28"/>
        </w:rPr>
      </w:pPr>
      <w:r>
        <w:rPr>
          <w:rFonts w:hint="eastAsia"/>
          <w:color w:val="000000"/>
          <w:sz w:val="28"/>
          <w:szCs w:val="28"/>
        </w:rPr>
        <w:t>反走私执法部门对举报者的信息应当给予保密，并按照规定给予奖励。</w:t>
      </w:r>
    </w:p>
    <w:p>
      <w:pPr>
        <w:pStyle w:val="4"/>
        <w:shd w:val="clear" w:color="auto" w:fill="FFFFFF"/>
        <w:spacing w:before="156" w:beforeAutospacing="0" w:after="156" w:afterAutospacing="0" w:line="467" w:lineRule="atLeast"/>
        <w:ind w:firstLine="562"/>
        <w:rPr>
          <w:rFonts w:hint="eastAsia"/>
          <w:color w:val="212121"/>
          <w:sz w:val="28"/>
          <w:szCs w:val="28"/>
        </w:rPr>
      </w:pPr>
      <w:r>
        <w:rPr>
          <w:rFonts w:hint="eastAsia"/>
          <w:b/>
          <w:bCs/>
          <w:color w:val="000000"/>
          <w:sz w:val="28"/>
          <w:szCs w:val="28"/>
        </w:rPr>
        <w:t>第十一条</w:t>
      </w:r>
      <w:r>
        <w:rPr>
          <w:rStyle w:val="9"/>
          <w:rFonts w:hint="eastAsia"/>
          <w:color w:val="000000"/>
          <w:sz w:val="28"/>
          <w:szCs w:val="28"/>
        </w:rPr>
        <w:t> </w:t>
      </w:r>
      <w:r>
        <w:rPr>
          <w:rFonts w:hint="eastAsia"/>
          <w:color w:val="000000"/>
          <w:sz w:val="28"/>
          <w:szCs w:val="28"/>
        </w:rPr>
        <w:t>综治机构组织建立并督促执行走私案件移交制度，统一协调处理复杂、疑难、有争议的案件。</w:t>
      </w:r>
    </w:p>
    <w:p>
      <w:pPr>
        <w:pStyle w:val="4"/>
        <w:shd w:val="clear" w:color="auto" w:fill="FFFFFF"/>
        <w:spacing w:before="156" w:beforeAutospacing="0" w:after="156" w:afterAutospacing="0" w:line="467" w:lineRule="atLeast"/>
        <w:ind w:firstLine="560"/>
        <w:rPr>
          <w:rFonts w:hint="eastAsia"/>
          <w:color w:val="212121"/>
          <w:sz w:val="28"/>
          <w:szCs w:val="28"/>
        </w:rPr>
      </w:pPr>
      <w:r>
        <w:rPr>
          <w:rFonts w:hint="eastAsia"/>
          <w:color w:val="000000"/>
          <w:sz w:val="28"/>
          <w:szCs w:val="28"/>
        </w:rPr>
        <w:t>反走私执法部门查获的走私案件，应当给予行政处罚的，依法移送海关处理；海关发现、查获应当由有关反走私执法部门依照市场监管等法律法规给予行政处罚的，移送有管辖权的部门处理。涉嫌犯罪的，依据案件管辖分工移送海关侦查走私犯罪公安机</w:t>
      </w:r>
      <w:r>
        <w:rPr>
          <w:rFonts w:hint="eastAsia"/>
          <w:color w:val="000000"/>
          <w:sz w:val="28"/>
          <w:szCs w:val="28"/>
          <w:lang w:val="en-US" w:eastAsia="zh-CN"/>
        </w:rPr>
        <w:t>关</w:t>
      </w:r>
      <w:bookmarkStart w:id="0" w:name="_GoBack"/>
      <w:bookmarkEnd w:id="0"/>
      <w:r>
        <w:rPr>
          <w:rFonts w:hint="eastAsia"/>
          <w:color w:val="000000"/>
          <w:sz w:val="28"/>
          <w:szCs w:val="28"/>
        </w:rPr>
        <w:t>、地方公安机关办理。案件移送和处理情况应当及时书面报告综治机构。</w:t>
      </w:r>
    </w:p>
    <w:p>
      <w:pPr>
        <w:pStyle w:val="4"/>
        <w:shd w:val="clear" w:color="auto" w:fill="FFFFFF"/>
        <w:spacing w:before="156" w:beforeAutospacing="0" w:after="156" w:afterAutospacing="0" w:line="467" w:lineRule="atLeast"/>
        <w:ind w:firstLine="562"/>
        <w:rPr>
          <w:rFonts w:hint="eastAsia"/>
          <w:color w:val="212121"/>
          <w:sz w:val="28"/>
          <w:szCs w:val="28"/>
        </w:rPr>
      </w:pPr>
      <w:r>
        <w:rPr>
          <w:rFonts w:hint="eastAsia"/>
          <w:b/>
          <w:bCs/>
          <w:color w:val="000000"/>
          <w:sz w:val="28"/>
          <w:szCs w:val="28"/>
        </w:rPr>
        <w:t>第十二条</w:t>
      </w:r>
      <w:r>
        <w:rPr>
          <w:rStyle w:val="9"/>
          <w:rFonts w:hint="eastAsia"/>
          <w:color w:val="000000"/>
          <w:sz w:val="28"/>
          <w:szCs w:val="28"/>
        </w:rPr>
        <w:t> </w:t>
      </w:r>
      <w:r>
        <w:rPr>
          <w:rFonts w:hint="eastAsia"/>
          <w:color w:val="000000"/>
          <w:sz w:val="28"/>
          <w:szCs w:val="28"/>
        </w:rPr>
        <w:t>反走私执法部门在海关监管区以外查获的进口货物、物品，所有人不在现场，有关人员不能随货提供合法来源证明的，应当通知货物存放场所的管理人员或者其他见证人到场，由经办人员和其他见证人在开列的物品清单上签字确认后，交综治机构协调处理。</w:t>
      </w:r>
    </w:p>
    <w:p>
      <w:pPr>
        <w:pStyle w:val="4"/>
        <w:shd w:val="clear" w:color="auto" w:fill="FFFFFF"/>
        <w:spacing w:before="156" w:beforeAutospacing="0" w:after="156" w:afterAutospacing="0" w:line="467" w:lineRule="atLeast"/>
        <w:ind w:firstLine="560"/>
        <w:rPr>
          <w:rFonts w:hint="eastAsia"/>
          <w:color w:val="212121"/>
          <w:sz w:val="28"/>
          <w:szCs w:val="28"/>
        </w:rPr>
      </w:pPr>
      <w:r>
        <w:rPr>
          <w:rFonts w:hint="eastAsia"/>
          <w:color w:val="000000"/>
          <w:sz w:val="28"/>
          <w:szCs w:val="28"/>
        </w:rPr>
        <w:t>依法需要检验检疫合格后才能处理的涉嫌走私的货物、物品，有关反走私执法部门应当委托检验检疫机构先行检验检疫。</w:t>
      </w:r>
    </w:p>
    <w:p>
      <w:pPr>
        <w:pStyle w:val="4"/>
        <w:shd w:val="clear" w:color="auto" w:fill="FFFFFF"/>
        <w:spacing w:before="156" w:beforeAutospacing="0" w:after="156" w:afterAutospacing="0" w:line="467" w:lineRule="atLeast"/>
        <w:ind w:firstLine="562"/>
        <w:rPr>
          <w:rFonts w:hint="eastAsia"/>
          <w:color w:val="212121"/>
          <w:sz w:val="28"/>
          <w:szCs w:val="28"/>
        </w:rPr>
      </w:pPr>
      <w:r>
        <w:rPr>
          <w:rFonts w:hint="eastAsia"/>
          <w:b/>
          <w:bCs/>
          <w:color w:val="000000"/>
          <w:sz w:val="28"/>
          <w:szCs w:val="28"/>
        </w:rPr>
        <w:t>第十三条</w:t>
      </w:r>
      <w:r>
        <w:rPr>
          <w:rStyle w:val="9"/>
          <w:rFonts w:hint="eastAsia"/>
          <w:color w:val="000000"/>
          <w:sz w:val="28"/>
          <w:szCs w:val="28"/>
        </w:rPr>
        <w:t> </w:t>
      </w:r>
      <w:r>
        <w:rPr>
          <w:rFonts w:hint="eastAsia"/>
          <w:color w:val="000000"/>
          <w:sz w:val="28"/>
          <w:szCs w:val="28"/>
        </w:rPr>
        <w:t>对查获的无主进口货物、物品，查获地综治机构应当在7个工作日内发布期限为6个月的招领公告。公告期限届满无人认领的，应当依法拍卖；依法不能拍卖的，由反走私执法部门根据有关规定处理。</w:t>
      </w:r>
    </w:p>
    <w:p>
      <w:pPr>
        <w:pStyle w:val="4"/>
        <w:shd w:val="clear" w:color="auto" w:fill="FFFFFF"/>
        <w:spacing w:before="156" w:beforeAutospacing="0" w:after="156" w:afterAutospacing="0" w:line="467" w:lineRule="atLeast"/>
        <w:ind w:firstLine="560"/>
        <w:rPr>
          <w:rFonts w:hint="eastAsia"/>
          <w:color w:val="212121"/>
          <w:sz w:val="28"/>
          <w:szCs w:val="28"/>
        </w:rPr>
      </w:pPr>
      <w:r>
        <w:rPr>
          <w:rFonts w:hint="eastAsia"/>
          <w:color w:val="000000"/>
          <w:sz w:val="28"/>
          <w:szCs w:val="28"/>
        </w:rPr>
        <w:t>前款货物、物品中的危险品或者鲜活、易腐、易失效等不宜长期保存的，综治机构或者反走私执法部门可以依法先行处理。</w:t>
      </w:r>
    </w:p>
    <w:p>
      <w:pPr>
        <w:pStyle w:val="4"/>
        <w:shd w:val="clear" w:color="auto" w:fill="FFFFFF"/>
        <w:spacing w:before="156" w:beforeAutospacing="0" w:after="156" w:afterAutospacing="0" w:line="467" w:lineRule="atLeast"/>
        <w:ind w:firstLine="560"/>
        <w:rPr>
          <w:rFonts w:hint="eastAsia"/>
          <w:color w:val="212121"/>
          <w:sz w:val="28"/>
          <w:szCs w:val="28"/>
        </w:rPr>
      </w:pPr>
      <w:r>
        <w:rPr>
          <w:rFonts w:hint="eastAsia"/>
          <w:color w:val="000000"/>
          <w:sz w:val="28"/>
          <w:szCs w:val="28"/>
        </w:rPr>
        <w:t>当事人或者所有权人在公告期间持相关合法证明认领货物、物品的，有关部门应当及时退还，保管、检验检疫等相关费用由认领人承担；货物、物品已经先行处理的，应当及时退还所得款项。</w:t>
      </w:r>
    </w:p>
    <w:p>
      <w:pPr>
        <w:pStyle w:val="4"/>
        <w:shd w:val="clear" w:color="auto" w:fill="FFFFFF"/>
        <w:spacing w:before="156" w:beforeAutospacing="0" w:after="156" w:afterAutospacing="0" w:line="467" w:lineRule="atLeast"/>
        <w:ind w:firstLine="562"/>
        <w:rPr>
          <w:rFonts w:hint="eastAsia"/>
          <w:color w:val="212121"/>
          <w:sz w:val="28"/>
          <w:szCs w:val="28"/>
        </w:rPr>
      </w:pPr>
      <w:r>
        <w:rPr>
          <w:rFonts w:hint="eastAsia"/>
          <w:b/>
          <w:bCs/>
          <w:color w:val="000000"/>
          <w:sz w:val="28"/>
          <w:szCs w:val="28"/>
        </w:rPr>
        <w:t>第十四条</w:t>
      </w:r>
      <w:r>
        <w:rPr>
          <w:rStyle w:val="9"/>
          <w:rFonts w:hint="eastAsia"/>
          <w:color w:val="000000"/>
          <w:sz w:val="28"/>
          <w:szCs w:val="28"/>
        </w:rPr>
        <w:t> </w:t>
      </w:r>
      <w:r>
        <w:rPr>
          <w:rFonts w:hint="eastAsia"/>
          <w:color w:val="000000"/>
          <w:sz w:val="28"/>
          <w:szCs w:val="28"/>
        </w:rPr>
        <w:t>经营无合法来源的进口货物、物品，由查获地市场监管部门责令改正，处2万元以上5万元以下罚款；拒不改正的，处5万元以上10万元以下罚款。</w:t>
      </w:r>
    </w:p>
    <w:p>
      <w:pPr>
        <w:pStyle w:val="4"/>
        <w:shd w:val="clear" w:color="auto" w:fill="FFFFFF"/>
        <w:spacing w:before="156" w:beforeAutospacing="0" w:after="156" w:afterAutospacing="0" w:line="467" w:lineRule="atLeast"/>
        <w:ind w:firstLine="560"/>
        <w:rPr>
          <w:rFonts w:hint="eastAsia"/>
          <w:color w:val="212121"/>
          <w:sz w:val="28"/>
          <w:szCs w:val="28"/>
        </w:rPr>
      </w:pPr>
      <w:r>
        <w:rPr>
          <w:rFonts w:hint="eastAsia"/>
          <w:color w:val="000000"/>
          <w:sz w:val="28"/>
          <w:szCs w:val="28"/>
        </w:rPr>
        <w:t>明知是无合法来源的进口货物、物品，而提供运输、仓储、广告等服务，有违法所得的，由查获地市场监管部门处以违法所得2倍以上5倍以下罚款，但最高限额不得超过10万元；无违法所得的，予以警告，可以并处5000元以上1万元以下罚款。</w:t>
      </w:r>
    </w:p>
    <w:p>
      <w:pPr>
        <w:pStyle w:val="4"/>
        <w:shd w:val="clear" w:color="auto" w:fill="FFFFFF"/>
        <w:spacing w:before="156" w:beforeAutospacing="0" w:after="156" w:afterAutospacing="0" w:line="467" w:lineRule="atLeast"/>
        <w:ind w:firstLine="562"/>
        <w:rPr>
          <w:rFonts w:hint="eastAsia"/>
          <w:color w:val="212121"/>
          <w:sz w:val="28"/>
          <w:szCs w:val="28"/>
        </w:rPr>
      </w:pPr>
      <w:r>
        <w:rPr>
          <w:rFonts w:hint="eastAsia"/>
          <w:b/>
          <w:bCs/>
          <w:color w:val="000000"/>
          <w:sz w:val="28"/>
          <w:szCs w:val="28"/>
        </w:rPr>
        <w:t>第十五条</w:t>
      </w:r>
      <w:r>
        <w:rPr>
          <w:rStyle w:val="9"/>
          <w:rFonts w:hint="eastAsia"/>
          <w:color w:val="000000"/>
          <w:sz w:val="28"/>
          <w:szCs w:val="28"/>
        </w:rPr>
        <w:t> </w:t>
      </w:r>
      <w:r>
        <w:rPr>
          <w:rFonts w:hint="eastAsia"/>
          <w:color w:val="000000"/>
          <w:sz w:val="28"/>
          <w:szCs w:val="28"/>
        </w:rPr>
        <w:t>本规定自2016年11月1日起施行。</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B47434"/>
    <w:rsid w:val="0037338B"/>
    <w:rsid w:val="00B47434"/>
    <w:rsid w:val="733976A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semiHidden/>
    <w:unhideWhenUsed/>
    <w:qFormat/>
    <w:uiPriority w:val="99"/>
    <w:pPr>
      <w:tabs>
        <w:tab w:val="center" w:pos="4153"/>
        <w:tab w:val="right" w:pos="8306"/>
      </w:tabs>
      <w:snapToGrid w:val="0"/>
      <w:jc w:val="left"/>
    </w:pPr>
    <w:rPr>
      <w:sz w:val="18"/>
      <w:szCs w:val="18"/>
    </w:rPr>
  </w:style>
  <w:style w:type="paragraph" w:styleId="3">
    <w:name w:val="header"/>
    <w:basedOn w:val="1"/>
    <w:link w:val="7"/>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semiHidden/>
    <w:unhideWhenUsed/>
    <w:uiPriority w:val="99"/>
    <w:pPr>
      <w:widowControl/>
      <w:spacing w:before="100" w:beforeAutospacing="1" w:after="100" w:afterAutospacing="1"/>
      <w:jc w:val="left"/>
    </w:pPr>
    <w:rPr>
      <w:rFonts w:ascii="宋体" w:hAnsi="宋体" w:eastAsia="宋体" w:cs="宋体"/>
      <w:kern w:val="0"/>
      <w:sz w:val="24"/>
      <w:szCs w:val="24"/>
    </w:rPr>
  </w:style>
  <w:style w:type="character" w:customStyle="1" w:styleId="7">
    <w:name w:val="页眉 Char"/>
    <w:basedOn w:val="6"/>
    <w:link w:val="3"/>
    <w:semiHidden/>
    <w:qFormat/>
    <w:uiPriority w:val="99"/>
    <w:rPr>
      <w:sz w:val="18"/>
      <w:szCs w:val="18"/>
    </w:rPr>
  </w:style>
  <w:style w:type="character" w:customStyle="1" w:styleId="8">
    <w:name w:val="页脚 Char"/>
    <w:basedOn w:val="6"/>
    <w:link w:val="2"/>
    <w:semiHidden/>
    <w:qFormat/>
    <w:uiPriority w:val="99"/>
    <w:rPr>
      <w:sz w:val="18"/>
      <w:szCs w:val="18"/>
    </w:rPr>
  </w:style>
  <w:style w:type="character" w:customStyle="1" w:styleId="9">
    <w:name w:val="apple-converted-space"/>
    <w:basedOn w:val="6"/>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6</Pages>
  <Words>363</Words>
  <Characters>2070</Characters>
  <Lines>17</Lines>
  <Paragraphs>4</Paragraphs>
  <TotalTime>0</TotalTime>
  <ScaleCrop>false</ScaleCrop>
  <LinksUpToDate>false</LinksUpToDate>
  <CharactersWithSpaces>2429</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2018-02-05T03:07:00Z</dcterms:created>
  <dc:creator>Administrator</dc:creator>
  <cp:lastModifiedBy>琦琦侠</cp:lastModifiedBy>
  <dcterms:modified xsi:type="dcterms:W3CDTF">2021-12-27T08:53:20Z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437BDEA52F9D43788D2F22F7D5302103</vt:lpwstr>
  </property>
</Properties>
</file>