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880" w:firstLineChars="200"/>
        <w:rPr>
          <w:rFonts w:hint="eastAsia" w:ascii="仿宋" w:hAnsi="仿宋" w:eastAsia="仿宋" w:cs="仿宋"/>
          <w:sz w:val="44"/>
          <w:szCs w:val="44"/>
        </w:rPr>
      </w:pPr>
    </w:p>
    <w:p>
      <w:pPr>
        <w:tabs>
          <w:tab w:val="left" w:pos="763"/>
        </w:tabs>
        <w:spacing w:line="600" w:lineRule="exact"/>
        <w:ind w:firstLine="883" w:firstLineChars="200"/>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2016年景洪市地方财政预算执行</w:t>
      </w:r>
    </w:p>
    <w:p>
      <w:pPr>
        <w:tabs>
          <w:tab w:val="left" w:pos="763"/>
        </w:tabs>
        <w:spacing w:line="600" w:lineRule="exact"/>
        <w:ind w:firstLine="883" w:firstLineChars="200"/>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情况和201</w:t>
      </w:r>
      <w:r>
        <w:rPr>
          <w:rFonts w:hint="eastAsia" w:ascii="仿宋" w:hAnsi="仿宋" w:eastAsia="仿宋" w:cs="仿宋"/>
          <w:b/>
          <w:bCs/>
          <w:sz w:val="44"/>
          <w:szCs w:val="44"/>
          <w:lang w:val="en-US" w:eastAsia="zh-CN"/>
        </w:rPr>
        <w:t>7</w:t>
      </w:r>
      <w:r>
        <w:rPr>
          <w:rFonts w:hint="eastAsia" w:ascii="仿宋" w:hAnsi="仿宋" w:eastAsia="仿宋" w:cs="仿宋"/>
          <w:b/>
          <w:bCs/>
          <w:sz w:val="44"/>
          <w:szCs w:val="44"/>
          <w:lang w:eastAsia="zh-CN"/>
        </w:rPr>
        <w:t>年财政预算编制</w:t>
      </w:r>
    </w:p>
    <w:p>
      <w:pPr>
        <w:tabs>
          <w:tab w:val="left" w:pos="763"/>
        </w:tabs>
        <w:spacing w:line="600" w:lineRule="exact"/>
        <w:ind w:firstLine="883" w:firstLineChars="200"/>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说明及名语解释</w:t>
      </w:r>
    </w:p>
    <w:p>
      <w:pPr>
        <w:spacing w:line="600" w:lineRule="exact"/>
        <w:ind w:firstLine="640" w:firstLineChars="200"/>
        <w:rPr>
          <w:rFonts w:hint="eastAsia" w:ascii="Times New Roman" w:hAnsi="Times New Roman" w:eastAsia="方正楷体_GBK"/>
          <w:sz w:val="32"/>
          <w:szCs w:val="32"/>
        </w:rPr>
      </w:pPr>
    </w:p>
    <w:p>
      <w:pPr>
        <w:spacing w:line="600" w:lineRule="exact"/>
        <w:rPr>
          <w:rFonts w:hint="eastAsia" w:ascii="仿宋" w:hAnsi="仿宋" w:eastAsia="仿宋" w:cs="仿宋"/>
          <w:b/>
          <w:bCs/>
          <w:sz w:val="32"/>
          <w:szCs w:val="32"/>
        </w:rPr>
      </w:pPr>
      <w:r>
        <w:rPr>
          <w:rFonts w:hint="eastAsia" w:ascii="仿宋" w:hAnsi="仿宋" w:eastAsia="仿宋" w:cs="仿宋"/>
          <w:b/>
          <w:bCs/>
          <w:sz w:val="32"/>
          <w:szCs w:val="32"/>
          <w:lang w:val="en-US" w:eastAsia="zh-CN"/>
        </w:rPr>
        <w:t>一、2016年</w:t>
      </w:r>
      <w:r>
        <w:rPr>
          <w:rFonts w:hint="eastAsia" w:ascii="仿宋" w:hAnsi="仿宋" w:eastAsia="仿宋" w:cs="仿宋"/>
          <w:b/>
          <w:bCs/>
          <w:sz w:val="32"/>
          <w:szCs w:val="32"/>
        </w:rPr>
        <w:t>地方财政预算执行情况</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市五届人大会第四次会议审议通过的全市一</w:t>
      </w:r>
      <w:bookmarkStart w:id="0" w:name="_GoBack"/>
      <w:bookmarkEnd w:id="0"/>
      <w:r>
        <w:rPr>
          <w:rFonts w:hint="eastAsia" w:ascii="仿宋" w:hAnsi="仿宋" w:eastAsia="仿宋" w:cs="仿宋"/>
          <w:sz w:val="32"/>
          <w:szCs w:val="32"/>
        </w:rPr>
        <w:t>般公共预算收入为127000万元，报经市五届人大常委会第二十六次会议批准调整为115800万元，实际完成115919万元（按原口径计算为121715万元），为调整预算数的100.1%，按“营改增”同口径计算增长6%。其中：税收收入完成76172 万元，为调整预算数的109.1%，同比增收17163万元，增长29.1%；非税收入完成39747万元，为调整预算数的86.4%。全年一般公共预算支出390896万元，为年初预算的108.5%，同比增支51513万元，增长15.2%。</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一般公共预算收入预算平衡情况：收入来源总计423869万元，其中：一般公共预算收入115919万元；上级转移性收入225715万元；上年滚存结余2007万元；调入资金22000万元。债务转贷收入54439万元；收回存量资金3789万元。支出总计421374万元，其中：一般公共预算支出390896万元；上解支出5039万元，债券还本支出25439万元，本年结余2495万元。              </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2.政府性基金收支</w:t>
      </w:r>
    </w:p>
    <w:p>
      <w:pPr>
        <w:spacing w:line="600" w:lineRule="exact"/>
        <w:ind w:firstLine="640" w:firstLineChars="200"/>
        <w:rPr>
          <w:rFonts w:hint="eastAsia" w:ascii="仿宋" w:hAnsi="仿宋" w:eastAsia="仿宋" w:cs="仿宋"/>
          <w:color w:val="FF0000"/>
          <w:sz w:val="32"/>
          <w:szCs w:val="32"/>
        </w:rPr>
      </w:pPr>
      <w:r>
        <w:rPr>
          <w:rFonts w:hint="eastAsia" w:ascii="仿宋" w:hAnsi="仿宋" w:eastAsia="仿宋" w:cs="仿宋"/>
          <w:sz w:val="32"/>
          <w:szCs w:val="32"/>
        </w:rPr>
        <w:t>政府性基金预算收入完成45358万元，为年初预算的97.1%，较上年决算数增收11620万元，增长34.4%，其中：国有土地使用权出让收入完成38876万元，为年初预算的96%，较上年决算数增收11469万元，增长41.8%。政府性基金预算支出完成26779万元，为年初预算的87.1%，较上年决算数减少13031万元，下降32.7%。</w:t>
      </w:r>
    </w:p>
    <w:p>
      <w:pPr>
        <w:spacing w:line="600" w:lineRule="exact"/>
        <w:ind w:firstLine="640" w:firstLineChars="200"/>
        <w:rPr>
          <w:rFonts w:hint="eastAsia" w:ascii="仿宋" w:hAnsi="仿宋" w:eastAsia="仿宋" w:cs="仿宋"/>
          <w:color w:val="FF0000"/>
          <w:sz w:val="32"/>
          <w:szCs w:val="32"/>
        </w:rPr>
      </w:pPr>
      <w:r>
        <w:rPr>
          <w:rFonts w:hint="eastAsia" w:ascii="仿宋" w:hAnsi="仿宋" w:eastAsia="仿宋" w:cs="仿宋"/>
          <w:sz w:val="32"/>
          <w:szCs w:val="32"/>
        </w:rPr>
        <w:t>基金预算平衡情况：基金预算收入45358万元，上级补助收入7028万元，上年结余338万元，债务转贷收入175800万元，收入合计228524万元。政府性基金预算支出26779万元，地方政府专项债务还本支出175800万元，调出资金22000万元，上解支出1235万元，支出合计225814万元，结余2710万元。</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3.国有资本经营预算</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2016年全市国有资本经营预算收入完成517万元，完成年初预算的100%。国有资本经营预算支出完成490万元，完成年初预算的94%，结余27万元。</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4.社会保险基金预算</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2016年社会保险基金收入完成93582万元，为年初预算的102.66%，较上年决算数增收19955万元，增长27.1%。社会保险基金支出100394万元，为年初预算的97.87%，较上年决算数增支22371万元，增长28.67%。</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社保基金预算平衡情况：社会保险基金收入完成93582万元，上级补助收入51186万元，上年结余28311万元，收入总计173079万元。社会保险基金支出100394万元，上解上级支出32857万元，年末滚存结余39828万元。</w:t>
      </w:r>
    </w:p>
    <w:p>
      <w:pPr>
        <w:rPr>
          <w:rFonts w:hint="eastAsia" w:ascii="仿宋" w:hAnsi="仿宋" w:eastAsia="仿宋" w:cs="仿宋"/>
          <w:b/>
          <w:bCs/>
          <w:sz w:val="32"/>
          <w:szCs w:val="32"/>
        </w:rPr>
      </w:pPr>
      <w:r>
        <w:rPr>
          <w:rFonts w:hint="eastAsia" w:ascii="仿宋" w:hAnsi="仿宋" w:eastAsia="仿宋" w:cs="仿宋"/>
          <w:b/>
          <w:bCs/>
          <w:sz w:val="32"/>
          <w:szCs w:val="32"/>
        </w:rPr>
        <w:t>二、2017年地方财政预算</w:t>
      </w:r>
      <w:r>
        <w:rPr>
          <w:rFonts w:hint="eastAsia" w:ascii="仿宋" w:hAnsi="仿宋" w:eastAsia="仿宋" w:cs="仿宋"/>
          <w:b/>
          <w:bCs/>
          <w:sz w:val="32"/>
          <w:szCs w:val="32"/>
          <w:lang w:eastAsia="zh-CN"/>
        </w:rPr>
        <w:t>编制情况</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一）一般公共预算</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般公共预算收入较上年营改增同口径增长4%，达到119900万元，比上年实际完成数115919万元，增长3.4%。分部门计划情况：国税部门27179万元，同比增长26%；地税部门44761万元，同比下降21%；财政部门47960万元，同比增长27%。</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般公共预算收支平衡计划：一般公共预算收入119900万元，上级补助收入预计235532万元，上年结余2495万元，调入资金11627万元，收回存量资金10287万元，收入合计379841万元，较上年决算数减少14439万元，下降3.7%。安排一般公共预算支出369151万元，较上年决算数增支7255万元，增长2.0%，上解支出4933万元，调出资金5257万元，安排稳定调节基金500万元，支出合计379841万元，收支平衡。</w:t>
      </w:r>
    </w:p>
    <w:p>
      <w:pPr>
        <w:tabs>
          <w:tab w:val="left" w:pos="1050"/>
        </w:tabs>
        <w:ind w:firstLine="480" w:firstLineChars="15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一般公共预算支出</w:t>
      </w:r>
      <w:r>
        <w:rPr>
          <w:rFonts w:hint="eastAsia" w:ascii="仿宋" w:hAnsi="仿宋" w:eastAsia="仿宋" w:cs="仿宋"/>
          <w:color w:val="000000"/>
          <w:sz w:val="32"/>
          <w:szCs w:val="32"/>
        </w:rPr>
        <w:t>369151.52</w:t>
      </w:r>
      <w:r>
        <w:rPr>
          <w:rFonts w:hint="eastAsia" w:ascii="仿宋" w:hAnsi="仿宋" w:eastAsia="仿宋" w:cs="仿宋"/>
          <w:sz w:val="32"/>
          <w:szCs w:val="32"/>
        </w:rPr>
        <w:t>万元，同口径比上年增长</w:t>
      </w:r>
      <w:r>
        <w:rPr>
          <w:rFonts w:hint="eastAsia" w:ascii="仿宋" w:hAnsi="仿宋" w:eastAsia="仿宋" w:cs="仿宋"/>
          <w:sz w:val="32"/>
          <w:szCs w:val="32"/>
          <w:lang w:val="en-US" w:eastAsia="zh-CN"/>
        </w:rPr>
        <w:t>2</w:t>
      </w:r>
      <w:r>
        <w:rPr>
          <w:rFonts w:hint="eastAsia" w:ascii="仿宋" w:hAnsi="仿宋" w:eastAsia="仿宋" w:cs="仿宋"/>
          <w:sz w:val="32"/>
          <w:szCs w:val="32"/>
        </w:rPr>
        <w:t>%。安排明细如下：</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一般公共服务支出</w:t>
      </w:r>
      <w:r>
        <w:rPr>
          <w:rFonts w:hint="eastAsia" w:ascii="仿宋" w:hAnsi="仿宋" w:eastAsia="仿宋" w:cs="仿宋"/>
          <w:color w:val="000000"/>
          <w:sz w:val="32"/>
          <w:szCs w:val="32"/>
        </w:rPr>
        <w:t>18092.81</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外交支出</w:t>
      </w:r>
      <w:r>
        <w:rPr>
          <w:rFonts w:hint="eastAsia" w:ascii="仿宋" w:hAnsi="仿宋" w:eastAsia="仿宋" w:cs="仿宋"/>
          <w:color w:val="000000"/>
          <w:sz w:val="32"/>
          <w:szCs w:val="32"/>
        </w:rPr>
        <w:t>4.00</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国防支出</w:t>
      </w:r>
      <w:r>
        <w:rPr>
          <w:rFonts w:hint="eastAsia" w:ascii="仿宋" w:hAnsi="仿宋" w:eastAsia="仿宋" w:cs="仿宋"/>
          <w:color w:val="000000"/>
          <w:sz w:val="32"/>
          <w:szCs w:val="32"/>
        </w:rPr>
        <w:t>235.28</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公共安全支出</w:t>
      </w:r>
      <w:r>
        <w:rPr>
          <w:rFonts w:hint="eastAsia" w:ascii="仿宋" w:hAnsi="仿宋" w:eastAsia="仿宋" w:cs="仿宋"/>
          <w:color w:val="000000"/>
          <w:sz w:val="32"/>
          <w:szCs w:val="32"/>
        </w:rPr>
        <w:t>16688.33</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教育支出</w:t>
      </w:r>
      <w:r>
        <w:rPr>
          <w:rFonts w:hint="eastAsia" w:ascii="仿宋" w:hAnsi="仿宋" w:eastAsia="仿宋" w:cs="仿宋"/>
          <w:color w:val="000000"/>
          <w:sz w:val="32"/>
          <w:szCs w:val="32"/>
        </w:rPr>
        <w:t>64914.49</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科学技术支出</w:t>
      </w:r>
      <w:r>
        <w:rPr>
          <w:rFonts w:hint="eastAsia" w:ascii="仿宋" w:hAnsi="仿宋" w:eastAsia="仿宋" w:cs="仿宋"/>
          <w:color w:val="000000"/>
          <w:sz w:val="32"/>
          <w:szCs w:val="32"/>
        </w:rPr>
        <w:t>1320.00</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文化体育与传媒支出</w:t>
      </w:r>
      <w:r>
        <w:rPr>
          <w:rFonts w:hint="eastAsia" w:ascii="仿宋" w:hAnsi="仿宋" w:eastAsia="仿宋" w:cs="仿宋"/>
          <w:color w:val="000000"/>
          <w:sz w:val="32"/>
          <w:szCs w:val="32"/>
        </w:rPr>
        <w:t>2043.19</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社会保障和就业支出</w:t>
      </w:r>
      <w:r>
        <w:rPr>
          <w:rFonts w:hint="eastAsia" w:ascii="仿宋" w:hAnsi="仿宋" w:eastAsia="仿宋" w:cs="仿宋"/>
          <w:color w:val="000000"/>
          <w:sz w:val="32"/>
          <w:szCs w:val="32"/>
        </w:rPr>
        <w:t>57398.10</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医疗卫生与计划生育支出</w:t>
      </w:r>
      <w:r>
        <w:rPr>
          <w:rFonts w:hint="eastAsia" w:ascii="仿宋" w:hAnsi="仿宋" w:eastAsia="仿宋" w:cs="仿宋"/>
          <w:color w:val="000000"/>
          <w:sz w:val="32"/>
          <w:szCs w:val="32"/>
        </w:rPr>
        <w:t>36873.90</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节能环保支出</w:t>
      </w:r>
      <w:r>
        <w:rPr>
          <w:rFonts w:hint="eastAsia" w:ascii="仿宋" w:hAnsi="仿宋" w:eastAsia="仿宋" w:cs="仿宋"/>
          <w:color w:val="000000"/>
          <w:sz w:val="32"/>
          <w:szCs w:val="32"/>
        </w:rPr>
        <w:t>8219.52</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城乡社区支出</w:t>
      </w:r>
      <w:r>
        <w:rPr>
          <w:rFonts w:hint="eastAsia" w:ascii="仿宋" w:hAnsi="仿宋" w:eastAsia="仿宋" w:cs="仿宋"/>
          <w:color w:val="000000"/>
          <w:sz w:val="32"/>
          <w:szCs w:val="32"/>
        </w:rPr>
        <w:t>9654.41</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农林水支出</w:t>
      </w:r>
      <w:r>
        <w:rPr>
          <w:rFonts w:hint="eastAsia" w:ascii="仿宋" w:hAnsi="仿宋" w:eastAsia="仿宋" w:cs="仿宋"/>
          <w:color w:val="000000"/>
          <w:sz w:val="32"/>
          <w:szCs w:val="32"/>
        </w:rPr>
        <w:t>67987.50</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交通运输支出</w:t>
      </w:r>
      <w:r>
        <w:rPr>
          <w:rFonts w:hint="eastAsia" w:ascii="仿宋" w:hAnsi="仿宋" w:eastAsia="仿宋" w:cs="仿宋"/>
          <w:color w:val="000000"/>
          <w:sz w:val="32"/>
          <w:szCs w:val="32"/>
        </w:rPr>
        <w:t>45846.39</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资源勘探信息等支出</w:t>
      </w:r>
      <w:r>
        <w:rPr>
          <w:rFonts w:hint="eastAsia" w:ascii="仿宋" w:hAnsi="仿宋" w:eastAsia="仿宋" w:cs="仿宋"/>
          <w:color w:val="000000"/>
          <w:sz w:val="32"/>
          <w:szCs w:val="32"/>
        </w:rPr>
        <w:t>830.2</w:t>
      </w:r>
      <w:r>
        <w:rPr>
          <w:rFonts w:hint="eastAsia" w:ascii="仿宋" w:hAnsi="仿宋" w:eastAsia="仿宋" w:cs="仿宋"/>
          <w:sz w:val="32"/>
          <w:szCs w:val="32"/>
        </w:rPr>
        <w:t>万元</w:t>
      </w:r>
      <w:r>
        <w:rPr>
          <w:rFonts w:hint="eastAsia" w:ascii="仿宋" w:hAnsi="仿宋" w:eastAsia="仿宋" w:cs="仿宋"/>
          <w:color w:val="000000"/>
          <w:sz w:val="32"/>
          <w:szCs w:val="32"/>
        </w:rPr>
        <w:t xml:space="preserve"> </w:t>
      </w:r>
    </w:p>
    <w:p>
      <w:pPr>
        <w:rPr>
          <w:rFonts w:hint="eastAsia" w:ascii="仿宋" w:hAnsi="仿宋" w:eastAsia="仿宋" w:cs="仿宋"/>
          <w:color w:val="000000"/>
          <w:sz w:val="32"/>
          <w:szCs w:val="32"/>
        </w:rPr>
      </w:pPr>
      <w:r>
        <w:rPr>
          <w:rFonts w:hint="eastAsia" w:ascii="仿宋" w:hAnsi="仿宋" w:eastAsia="仿宋" w:cs="仿宋"/>
          <w:sz w:val="32"/>
          <w:szCs w:val="32"/>
        </w:rPr>
        <w:t xml:space="preserve">   商业服务业等支出</w:t>
      </w:r>
      <w:r>
        <w:rPr>
          <w:rFonts w:hint="eastAsia" w:ascii="仿宋" w:hAnsi="仿宋" w:eastAsia="仿宋" w:cs="仿宋"/>
          <w:color w:val="000000"/>
          <w:sz w:val="32"/>
          <w:szCs w:val="32"/>
        </w:rPr>
        <w:t>2073.99</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金融支出</w:t>
      </w:r>
      <w:r>
        <w:rPr>
          <w:rFonts w:hint="eastAsia" w:ascii="仿宋" w:hAnsi="仿宋" w:eastAsia="仿宋" w:cs="仿宋"/>
          <w:color w:val="000000"/>
          <w:sz w:val="32"/>
          <w:szCs w:val="32"/>
        </w:rPr>
        <w:t>19.94</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国土海洋气象等支出</w:t>
      </w:r>
      <w:r>
        <w:rPr>
          <w:rFonts w:hint="eastAsia" w:ascii="仿宋" w:hAnsi="仿宋" w:eastAsia="仿宋" w:cs="仿宋"/>
          <w:color w:val="000000"/>
          <w:sz w:val="32"/>
          <w:szCs w:val="32"/>
        </w:rPr>
        <w:t>3358.63</w:t>
      </w:r>
      <w:r>
        <w:rPr>
          <w:rFonts w:hint="eastAsia" w:ascii="仿宋" w:hAnsi="仿宋" w:eastAsia="仿宋" w:cs="仿宋"/>
          <w:sz w:val="32"/>
          <w:szCs w:val="32"/>
        </w:rPr>
        <w:t>万元</w:t>
      </w:r>
    </w:p>
    <w:p>
      <w:pPr>
        <w:ind w:firstLine="480" w:firstLineChars="150"/>
        <w:rPr>
          <w:rFonts w:hint="eastAsia" w:ascii="仿宋" w:hAnsi="仿宋" w:eastAsia="仿宋" w:cs="仿宋"/>
          <w:sz w:val="32"/>
          <w:szCs w:val="32"/>
        </w:rPr>
      </w:pPr>
      <w:r>
        <w:rPr>
          <w:rFonts w:hint="eastAsia" w:ascii="仿宋" w:hAnsi="仿宋" w:eastAsia="仿宋" w:cs="仿宋"/>
          <w:sz w:val="32"/>
          <w:szCs w:val="32"/>
        </w:rPr>
        <w:t>住房保障支出</w:t>
      </w:r>
      <w:r>
        <w:rPr>
          <w:rFonts w:hint="eastAsia" w:ascii="仿宋" w:hAnsi="仿宋" w:eastAsia="仿宋" w:cs="仿宋"/>
          <w:color w:val="000000"/>
          <w:sz w:val="32"/>
          <w:szCs w:val="32"/>
        </w:rPr>
        <w:t>13919.49</w:t>
      </w:r>
      <w:r>
        <w:rPr>
          <w:rFonts w:hint="eastAsia" w:ascii="仿宋" w:hAnsi="仿宋" w:eastAsia="仿宋" w:cs="仿宋"/>
          <w:sz w:val="32"/>
          <w:szCs w:val="32"/>
        </w:rPr>
        <w:t>万元</w:t>
      </w:r>
    </w:p>
    <w:p>
      <w:pPr>
        <w:ind w:firstLine="480" w:firstLineChars="150"/>
        <w:rPr>
          <w:rFonts w:hint="eastAsia" w:ascii="仿宋" w:hAnsi="仿宋" w:eastAsia="仿宋" w:cs="仿宋"/>
          <w:sz w:val="32"/>
          <w:szCs w:val="32"/>
        </w:rPr>
      </w:pPr>
      <w:r>
        <w:rPr>
          <w:rFonts w:hint="eastAsia" w:ascii="仿宋" w:hAnsi="仿宋" w:eastAsia="仿宋" w:cs="仿宋"/>
          <w:sz w:val="32"/>
          <w:szCs w:val="32"/>
        </w:rPr>
        <w:t>粮油物资储备支出</w:t>
      </w:r>
      <w:r>
        <w:rPr>
          <w:rFonts w:hint="eastAsia" w:ascii="仿宋" w:hAnsi="仿宋" w:eastAsia="仿宋" w:cs="仿宋"/>
          <w:sz w:val="32"/>
          <w:szCs w:val="32"/>
          <w:lang w:val="en-US" w:eastAsia="zh-CN"/>
        </w:rPr>
        <w:t>518.5</w:t>
      </w:r>
      <w:r>
        <w:rPr>
          <w:rFonts w:hint="eastAsia" w:ascii="仿宋" w:hAnsi="仿宋" w:eastAsia="仿宋" w:cs="仿宋"/>
          <w:sz w:val="32"/>
          <w:szCs w:val="32"/>
        </w:rPr>
        <w:t>万元</w:t>
      </w:r>
    </w:p>
    <w:p>
      <w:pPr>
        <w:ind w:firstLine="640" w:firstLineChars="200"/>
        <w:rPr>
          <w:rFonts w:hint="eastAsia" w:ascii="仿宋" w:hAnsi="仿宋" w:eastAsia="仿宋" w:cs="仿宋"/>
          <w:color w:val="000000"/>
          <w:sz w:val="32"/>
          <w:szCs w:val="32"/>
        </w:rPr>
      </w:pPr>
      <w:r>
        <w:rPr>
          <w:rFonts w:hint="eastAsia" w:ascii="仿宋" w:hAnsi="仿宋" w:eastAsia="仿宋" w:cs="仿宋"/>
          <w:sz w:val="32"/>
          <w:szCs w:val="32"/>
        </w:rPr>
        <w:t>预备费</w:t>
      </w:r>
      <w:r>
        <w:rPr>
          <w:rFonts w:hint="eastAsia" w:ascii="仿宋" w:hAnsi="仿宋" w:eastAsia="仿宋" w:cs="仿宋"/>
          <w:color w:val="000000"/>
          <w:sz w:val="32"/>
          <w:szCs w:val="32"/>
        </w:rPr>
        <w:t>1500.00</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其他支出</w:t>
      </w:r>
      <w:r>
        <w:rPr>
          <w:rFonts w:hint="eastAsia" w:ascii="仿宋" w:hAnsi="仿宋" w:eastAsia="仿宋" w:cs="仿宋"/>
          <w:color w:val="000000"/>
          <w:sz w:val="32"/>
          <w:szCs w:val="32"/>
        </w:rPr>
        <w:t>15214.81</w:t>
      </w:r>
      <w:r>
        <w:rPr>
          <w:rFonts w:hint="eastAsia" w:ascii="仿宋" w:hAnsi="仿宋" w:eastAsia="仿宋" w:cs="仿宋"/>
          <w:sz w:val="32"/>
          <w:szCs w:val="32"/>
        </w:rPr>
        <w:t>万元</w:t>
      </w:r>
    </w:p>
    <w:p>
      <w:pPr>
        <w:ind w:firstLine="480" w:firstLineChars="150"/>
        <w:rPr>
          <w:rFonts w:hint="eastAsia" w:ascii="仿宋" w:hAnsi="仿宋" w:eastAsia="仿宋" w:cs="仿宋"/>
          <w:color w:val="000000"/>
          <w:sz w:val="32"/>
          <w:szCs w:val="32"/>
        </w:rPr>
      </w:pPr>
      <w:r>
        <w:rPr>
          <w:rFonts w:hint="eastAsia" w:ascii="仿宋" w:hAnsi="仿宋" w:eastAsia="仿宋" w:cs="仿宋"/>
          <w:sz w:val="32"/>
          <w:szCs w:val="32"/>
        </w:rPr>
        <w:t>债务付息支出</w:t>
      </w:r>
      <w:r>
        <w:rPr>
          <w:rFonts w:hint="eastAsia" w:ascii="仿宋" w:hAnsi="仿宋" w:eastAsia="仿宋" w:cs="仿宋"/>
          <w:color w:val="000000"/>
          <w:sz w:val="32"/>
          <w:szCs w:val="32"/>
        </w:rPr>
        <w:t>2437.00</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sz w:val="32"/>
          <w:szCs w:val="32"/>
        </w:rPr>
        <w:t xml:space="preserve">   债务发行费用支出</w:t>
      </w:r>
      <w:r>
        <w:rPr>
          <w:rFonts w:hint="eastAsia" w:ascii="仿宋" w:hAnsi="仿宋" w:eastAsia="仿宋" w:cs="仿宋"/>
          <w:color w:val="000000"/>
          <w:sz w:val="32"/>
          <w:szCs w:val="32"/>
        </w:rPr>
        <w:t>1.00</w:t>
      </w:r>
      <w:r>
        <w:rPr>
          <w:rFonts w:hint="eastAsia" w:ascii="仿宋" w:hAnsi="仿宋" w:eastAsia="仿宋" w:cs="仿宋"/>
          <w:sz w:val="32"/>
          <w:szCs w:val="32"/>
        </w:rPr>
        <w:t>万元</w:t>
      </w:r>
    </w:p>
    <w:p>
      <w:pPr>
        <w:tabs>
          <w:tab w:val="left" w:pos="1050"/>
        </w:tabs>
        <w:ind w:firstLine="480" w:firstLineChars="15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、政府性基金预算支出</w:t>
      </w:r>
      <w:r>
        <w:rPr>
          <w:rFonts w:hint="eastAsia" w:ascii="仿宋" w:hAnsi="仿宋" w:eastAsia="仿宋" w:cs="仿宋"/>
          <w:color w:val="000000"/>
          <w:sz w:val="32"/>
          <w:szCs w:val="32"/>
        </w:rPr>
        <w:t>35479.53</w:t>
      </w:r>
      <w:r>
        <w:rPr>
          <w:rFonts w:hint="eastAsia" w:ascii="仿宋" w:hAnsi="仿宋" w:eastAsia="仿宋" w:cs="仿宋"/>
          <w:sz w:val="32"/>
          <w:szCs w:val="32"/>
        </w:rPr>
        <w:t>万元</w:t>
      </w:r>
      <w:r>
        <w:rPr>
          <w:rFonts w:hint="eastAsia" w:ascii="仿宋" w:hAnsi="仿宋" w:eastAsia="仿宋" w:cs="仿宋"/>
          <w:color w:val="000000"/>
          <w:sz w:val="32"/>
          <w:szCs w:val="32"/>
        </w:rPr>
        <w:t>，</w:t>
      </w:r>
      <w:r>
        <w:rPr>
          <w:rFonts w:hint="eastAsia" w:ascii="仿宋" w:hAnsi="仿宋" w:eastAsia="仿宋" w:cs="仿宋"/>
          <w:sz w:val="32"/>
          <w:szCs w:val="32"/>
        </w:rPr>
        <w:t>同口径比上年增长32.</w:t>
      </w:r>
      <w:r>
        <w:rPr>
          <w:rFonts w:hint="eastAsia" w:ascii="仿宋" w:hAnsi="仿宋" w:eastAsia="仿宋" w:cs="仿宋"/>
          <w:sz w:val="32"/>
          <w:szCs w:val="32"/>
          <w:lang w:val="en-US" w:eastAsia="zh-CN"/>
        </w:rPr>
        <w:t>5</w:t>
      </w:r>
      <w:r>
        <w:rPr>
          <w:rFonts w:hint="eastAsia" w:ascii="仿宋" w:hAnsi="仿宋" w:eastAsia="仿宋" w:cs="仿宋"/>
          <w:sz w:val="32"/>
          <w:szCs w:val="32"/>
        </w:rPr>
        <w:t>%。安排明细如下：</w:t>
      </w:r>
    </w:p>
    <w:p>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城乡社区支出</w:t>
      </w:r>
      <w:r>
        <w:rPr>
          <w:rFonts w:hint="eastAsia" w:ascii="仿宋" w:hAnsi="仿宋" w:eastAsia="仿宋" w:cs="仿宋"/>
          <w:color w:val="000000"/>
          <w:sz w:val="32"/>
          <w:szCs w:val="32"/>
          <w:lang w:val="en-US" w:eastAsia="zh-CN"/>
        </w:rPr>
        <w:t>24700.53</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农林水支出600</w:t>
      </w:r>
      <w:r>
        <w:rPr>
          <w:rFonts w:hint="eastAsia" w:ascii="仿宋" w:hAnsi="仿宋" w:eastAsia="仿宋" w:cs="仿宋"/>
          <w:sz w:val="32"/>
          <w:szCs w:val="32"/>
        </w:rPr>
        <w:t>万元</w:t>
      </w:r>
    </w:p>
    <w:p>
      <w:pPr>
        <w:ind w:firstLine="640"/>
        <w:rPr>
          <w:rFonts w:hint="eastAsia" w:ascii="仿宋" w:hAnsi="仿宋" w:eastAsia="仿宋" w:cs="仿宋"/>
          <w:sz w:val="32"/>
          <w:szCs w:val="32"/>
        </w:rPr>
      </w:pPr>
      <w:r>
        <w:rPr>
          <w:rFonts w:hint="eastAsia" w:ascii="仿宋" w:hAnsi="仿宋" w:eastAsia="仿宋" w:cs="仿宋"/>
          <w:sz w:val="32"/>
          <w:szCs w:val="32"/>
        </w:rPr>
        <w:t>商业服务业等支出</w:t>
      </w:r>
      <w:r>
        <w:rPr>
          <w:rFonts w:hint="eastAsia" w:ascii="仿宋" w:hAnsi="仿宋" w:eastAsia="仿宋" w:cs="仿宋"/>
          <w:sz w:val="32"/>
          <w:szCs w:val="32"/>
          <w:lang w:val="en-US" w:eastAsia="zh-CN"/>
        </w:rPr>
        <w:t>50</w:t>
      </w:r>
    </w:p>
    <w:p>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其他支出500</w:t>
      </w:r>
      <w:r>
        <w:rPr>
          <w:rFonts w:hint="eastAsia" w:ascii="仿宋" w:hAnsi="仿宋" w:eastAsia="仿宋" w:cs="仿宋"/>
          <w:color w:val="000000"/>
          <w:sz w:val="32"/>
          <w:szCs w:val="32"/>
          <w:lang w:val="en-US" w:eastAsia="zh-CN"/>
        </w:rPr>
        <w:t>0</w:t>
      </w:r>
      <w:r>
        <w:rPr>
          <w:rFonts w:hint="eastAsia" w:ascii="仿宋" w:hAnsi="仿宋" w:eastAsia="仿宋" w:cs="仿宋"/>
          <w:sz w:val="32"/>
          <w:szCs w:val="32"/>
        </w:rPr>
        <w:t>万元</w:t>
      </w:r>
    </w:p>
    <w:p>
      <w:pPr>
        <w:ind w:firstLine="640" w:firstLineChars="200"/>
        <w:rPr>
          <w:rFonts w:hint="eastAsia" w:ascii="仿宋" w:hAnsi="仿宋" w:eastAsia="仿宋" w:cs="仿宋"/>
          <w:color w:val="000000"/>
          <w:sz w:val="32"/>
          <w:szCs w:val="32"/>
        </w:rPr>
      </w:pPr>
      <w:r>
        <w:rPr>
          <w:rFonts w:hint="eastAsia" w:ascii="仿宋" w:hAnsi="仿宋" w:eastAsia="仿宋" w:cs="仿宋"/>
          <w:sz w:val="32"/>
          <w:szCs w:val="32"/>
        </w:rPr>
        <w:t>地方政府专项债务付息支出</w:t>
      </w:r>
      <w:r>
        <w:rPr>
          <w:rFonts w:hint="eastAsia" w:ascii="仿宋" w:hAnsi="仿宋" w:eastAsia="仿宋" w:cs="仿宋"/>
          <w:color w:val="000000"/>
          <w:sz w:val="32"/>
          <w:szCs w:val="32"/>
        </w:rPr>
        <w:t>5128.00</w:t>
      </w:r>
      <w:r>
        <w:rPr>
          <w:rFonts w:hint="eastAsia" w:ascii="仿宋" w:hAnsi="仿宋" w:eastAsia="仿宋" w:cs="仿宋"/>
          <w:sz w:val="32"/>
          <w:szCs w:val="32"/>
        </w:rPr>
        <w:t>万元</w:t>
      </w:r>
    </w:p>
    <w:p>
      <w:pPr>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地方政府专项债务发行费用支出1.00</w:t>
      </w:r>
      <w:r>
        <w:rPr>
          <w:rFonts w:hint="eastAsia" w:ascii="仿宋" w:hAnsi="仿宋" w:eastAsia="仿宋" w:cs="仿宋"/>
          <w:sz w:val="32"/>
          <w:szCs w:val="32"/>
        </w:rPr>
        <w:t>万元</w:t>
      </w:r>
    </w:p>
    <w:p>
      <w:pPr>
        <w:spacing w:line="60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（二）政府性基金预算</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2017年全市政府性基金收入安排32292万元，较上年实际完成数下降28.8%；基金预算支出35480万元，较上年实际完成数增长32.5%。</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政府性基金收支平衡计划：政府性基金收入安排32292万元，上级补助收入5221万元，上年结余2710万元，调入资金5257万元，收入总计48450万元。政府性基金支出安排35480万元，调出资金10000万元，支出总计45480万元，收支平衡。</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（三）国有资本经营预算</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2017年国有资本经营预算安排528万元，上年结余27万元，合计555万元。安排支出528万元，调出资金27万元，支出合计555万元，收支平衡。</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（四）社会保险基金预算</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2017年全市社会保险基金收入安排107075万元，较上年实际完成数增长17.46%，增加15922万元；社会保险基金支出121179万元。</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社会保险基金收入平衡计划：社会保险基金收入安排107075万元，上级补助收入54626万元，上年结余24996万元，收入总计186697万元。全市社会保险基金支出安排121179万元，上解上级支出37200万元，支出总计158379万元，收支相抵，年末滚存结余28318万元。</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lang w:eastAsia="zh-CN"/>
        </w:rPr>
        <w:t>三、</w:t>
      </w:r>
      <w:r>
        <w:rPr>
          <w:rFonts w:hint="eastAsia" w:ascii="仿宋" w:hAnsi="仿宋" w:eastAsia="仿宋" w:cs="仿宋"/>
          <w:b/>
          <w:bCs/>
          <w:sz w:val="32"/>
          <w:szCs w:val="32"/>
        </w:rPr>
        <w:t>名词解释</w:t>
      </w:r>
    </w:p>
    <w:p>
      <w:pPr>
        <w:numPr>
          <w:ilvl w:val="0"/>
          <w:numId w:val="0"/>
        </w:num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 xml:space="preserve">政府预算基本概念 </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政府预算内涵、特征和作用 </w:t>
      </w:r>
    </w:p>
    <w:p>
      <w:pPr>
        <w:numPr>
          <w:ilvl w:val="0"/>
          <w:numId w:val="2"/>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政府预算的内涵 </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政府预算是按法定程序，由国家权力机关批准的政府年 度收支计划。按照《预算法》第四条规定：预算由预算收入 和预算支出组成。政府的全部收入和支出都应当纳入预算。 </w:t>
      </w:r>
    </w:p>
    <w:p>
      <w:pPr>
        <w:numPr>
          <w:ilvl w:val="0"/>
          <w:numId w:val="2"/>
        </w:numPr>
        <w:tabs>
          <w:tab w:val="clear" w:pos="31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政府预算的特征 </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政府预算具有预测性、法定性、完整性、年度性、公开性和责任性。一是具有预测性。政府通过编制预算对预算收 支规模、收入来源和支出用途做出预先设想和预计。预测的 预算能否实现取决于预测的科学性，同时也受预算执行中客 观条件以及预算管理手段的影响。二是具有法定性。政府预 算的编制和确定都必须依照法律程序进行。政府预算由政府 财政部门编制，由人大审查批准。经人大批准的政府预算才能成立。经批准的预算，非经法定程序，不得调整。三是具有年度性。我国《预算法》第十八条规定：预算年度自公历 1月1日起，至12月31日止。四是具有完整性。所有政府 预算都应在政府预算的约束和规范下，不允许在政府预算之 外还存在政府收支，预算是政府各项收支的汇交点。五是具 有公开性。政府预算的收支安排、国家权力机关的审查过程、 预算收支执行过程和结果,除涉密内容外都应当向社会公开</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并接受监督。《预算法》第十四条对预算公开作出了具体规 定。六是具有责任性。政府预算的执行结果必须向国家权力 机关报告并取得权力机关的认可。 </w:t>
      </w:r>
    </w:p>
    <w:p>
      <w:pPr>
        <w:numPr>
          <w:ilvl w:val="0"/>
          <w:numId w:val="2"/>
        </w:numPr>
        <w:tabs>
          <w:tab w:val="clear" w:pos="31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政府预算的作用 </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政府预算就是政府活动的记录，是反映政府工作的镜 子。现代经济条件下，政府预算的作用通常表现在：一是确定政府可获得的资源，全面安排好支出。二是反映政府活动 的范围和方向。从收入看，每一笔收入都落实到具体的税种 和非税收入上。从支出预算看，每一笔支出都落实在政府预 算支出类款项上，体现了政府为社会提供公共产品和服务具 体开展方向。三是有利于人民群众参与国家事务管理。国家 权力机关对政府预算的审查批准过程，是听取民意、汇集民 智的过程；是对政府收支的法定授权。只有在授权范围内才 合法有效。四是有利于政府活动有序进行。政府预算的编制、 审批、执行，让各预算部门按照预算有序开展，有利于政府 及其部门对所做的工作早准备、按计划开展，避免工作的盲 目性。 </w:t>
      </w:r>
    </w:p>
    <w:p>
      <w:pPr>
        <w:numPr>
          <w:ilvl w:val="0"/>
          <w:numId w:val="2"/>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政府预算体系构成 </w:t>
      </w:r>
      <w:r>
        <w:rPr>
          <w:rFonts w:hint="eastAsia" w:ascii="仿宋_GB2312" w:hAnsi="仿宋_GB2312" w:eastAsia="仿宋_GB2312" w:cs="仿宋_GB2312"/>
          <w:sz w:val="32"/>
          <w:szCs w:val="32"/>
          <w:lang w:eastAsia="zh-CN"/>
        </w:rPr>
        <w:t>。</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《预算法》第五条规定：预算包括一般公共预算、政府 性基金预算、国有资本经营预算、社会保险基金预算。一般公共预算、政府性基金预算、国有资本经营预算、社会保险 基金预算应当保持完整、独立。政府性基金预算、国有资本 经营预算、社会保险基金预算应当与一般公共预算相衔接。</w:t>
      </w:r>
    </w:p>
    <w:p>
      <w:pPr>
        <w:numPr>
          <w:ilvl w:val="0"/>
          <w:numId w:val="0"/>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【一般公共预算】是以税收为主体的财政收入，安排用于保障和改善民生、推动经济社会发展、维护国家安全、维 持国家机构正常运转等方面的收支预算。一般公共财政预算 收入包括</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本级收入、中央和省对我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的税收返还和转移支 付收入。一般公共财政预算支出包括</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本级支出、上解上级支出、对下级财政的税收返还和转移支付支出。</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本级一般公共财政预算收入包括税收收入、行政事业性收费收入、国有资源（资产）有偿使用收入等；</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本级一般公共财政预算支出按照功能分类分为：一般公共服务支出、外交、公共安全、国防支出、农业、环境保护、教育、科技、文化、卫生、体育、社会保障及就业和其他支出；按经济性质分类分为：工资福利支出、商品和服务支出、资本性支出和其他支出。</w:t>
      </w:r>
    </w:p>
    <w:p>
      <w:pPr>
        <w:numPr>
          <w:ilvl w:val="0"/>
          <w:numId w:val="0"/>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【政府性基金预算】是对依照法律、行政法规的规定在 一定期限内向特定对象征收、收取或者以其他方式筹集的资 金，专项用于特定公共事业发展的收支预算。政府性基金预  算应当根据基金项目收入情况和实际支出需要，按基金项目 编制，做到以收定支。 </w:t>
      </w:r>
    </w:p>
    <w:p>
      <w:pPr>
        <w:numPr>
          <w:ilvl w:val="0"/>
          <w:numId w:val="0"/>
        </w:num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【国有资本经营预算】是对国有资本收益作出支出安排的收支预算。国有资本经营预算按照收支平衡的原则编制， 以收定支，不列赤字，与一般公共预算相衔接。</w:t>
      </w:r>
    </w:p>
    <w:p>
      <w:pPr>
        <w:numPr>
          <w:ilvl w:val="0"/>
          <w:numId w:val="0"/>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【社会保险基金预算】是对社会保险缴款、一般公共预算安排和其他方式筹集的资金，专项用于社会保险的收支预 算。社会保险基金预算按照统筹层次和社会保险项目分别编 制，做到收支平衡。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【全口径预算管理】 是财政预算管理的一种模式，目标是将所有政府收支纳入预算，进行高效、统一管理。2015 年正式颁布实施的新预算法第五条规定：预算包括一般公共预算、政府性基金预算、国有资本经营预算、社会保险基金预算。至此，把所有预算按上述四类全部分类管理，为政府高效运行奠定基础。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【部门预算】 是反映政府部门收支活动的预算。是政府部门依据国家有关政策及其行使职能的需要，由基层预算单位编制，逐步上报、审核、汇总，经财政部门审核，经政府同意后提交</w:t>
      </w:r>
      <w:r>
        <w:rPr>
          <w:rFonts w:hint="eastAsia" w:ascii="仿宋_GB2312" w:hAnsi="仿宋_GB2312" w:eastAsia="仿宋_GB2312" w:cs="仿宋_GB2312"/>
          <w:sz w:val="32"/>
          <w:szCs w:val="32"/>
          <w:lang w:eastAsia="zh-CN"/>
        </w:rPr>
        <w:t>人民代表大会</w:t>
      </w:r>
      <w:r>
        <w:rPr>
          <w:rFonts w:hint="eastAsia" w:ascii="仿宋_GB2312" w:hAnsi="仿宋_GB2312" w:eastAsia="仿宋_GB2312" w:cs="仿宋_GB2312"/>
          <w:sz w:val="32"/>
          <w:szCs w:val="32"/>
        </w:rPr>
        <w:t>审议通过的、全面反映部门所有收入和支出的预算。通俗地讲，就是“一个部门一本账”。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【财政存量资金】 是指收入已经发生、尚未安排预算，或者预算已经安排、尚未形成实际支出的财政资金。具体包括：一是收入已经发生、尚未安排预算的资金，如每年的一般公共预算和政府性基金预算中的超收收入，年终调整列入预算稳定调节基金或预算周转金。二是预算已经安排、尚未形成实际支出且尚未列支的资金。三是预算已经安排、尚未形成实际支出且已经列支的资金。不包括当年季节性收支差额形成的资金。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【地方政府性债务】 是指地方政府及其职能部门（机构）、有财政经常性拨款的事业单位等直接借入、拖欠或依据合同提供担保形成的债务，以及地方政府及其职能部门（机构）成立的公司为进行基础性、公益性建设，以政府信用直接借入或依法提供担保形成的债务。包括地方政府负有偿还责任的债务、负有担保责任的债务及可能承担一定救助责任的债务。其中地方政府负有偿还责任的债务称为地方政府债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【地方政府债务限额管理】 是规范地方政府债务管理的重要内容。预算法第三十五条规定：经国务院批准的省、自治区、直辖市的预算中必须的建设投资的部分资金可以在国务院确定的限额内，通过发行地方政府债券举借债务的方式筹措。举借债务的规模，由国务院报全国人民代表大会或者全国人民代表大会常务委员会批准。每年全国地方政府债务新增限额和总限额，由国务院报全国人民代表大会或全国人大常委会审批。每年各地地方政府债务新增限额和总限额，由财政部在全国人大或其常委会批准的限额内提出方案，报国务院批准后下达各省级人民政府，并向社会公开。省级人民政府依照下达的限额编制预算调整方案，报同级人大常委会批准。市县级政府确需举借债务的，依照省级人民政府下达的限额编制预算调整方案，报同级人大常委会批准，由省级人民政府代为举借。省级财政部门在批准的地方政府债务限额内，合理搭配债券期限，安排债券发行兑付。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【债务风险防范预警】 是指在地方财政经济运行过程中,通过定期对各级各部门政府性债务情况进行统计和各项经济活动进行监督,从而对导致政府性债务风险增大的不稳定管理状态和不正常因素产生的警兆进行分析，并在债务风险增大到一定程度时发出警示提示，债务管理部门据此查找警源，并责成相关主管部门进行妥善处理和整改，把债务风险降低到相对安全程度的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【预算绩效管理】 是以“预算”为对象开展的绩效管理，也就是将绩效管理 理念和绩效管理方法贯穿于预算编制、执行、监督的全过程，并实现与预算管理有机融合的一种预算管理模式。预算绩效管理是政府绩效管理的重要组成部分，强化政府预算为民服务的理念，强调预算支出的责任和效率，要求在预算编制、执行、监督的全过程中更加关注预算资金的产出和结果，要求政府部门不断改进服务水平和质量，花尽量少的资金、办尽量多的实事，向社会公众提供更多、更好的公共产品和公共服务，使政府行为更加务实、高效。预算绩效管理的表现形式是四个环节紧密相连，即绩效目标管理、绩效跟踪监控、 绩效评价实施、评价结果运用的有机统一，一环扣一环，形成封闭运行的预算管理闭环。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【中期绩效评价】 是指将一定时间跨度（通常为 3 年，最长不超过 5 年） 的财政资金作为绩效评价对象，运用一定的评价方法、量化指标及评价标准，对财政资金绩效目标设定和绩效目标实现程度，以及为实现这一目标所安排资金的执行结果进行的综合性评价。与年度绩效评价相比，中期绩效评价涵盖的时间 跨度更长，能更客观地反映项目的长期效益和绩效情况，同时，可以反映预算资金在多个年度内所取得的效益，为制定政策和完善制度提供重要参考。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【财政事权和支出责任划分改革】 财政事权是一级政府应承担的运用财政资金提供基本公共服务的任务和职责，支出责任是政府履行财政事权的支出义务和保障。推进财政事权和支出责任划分改革是全面深化财税体制改革三大核心内容之一，也是自1994 年实施中央与地方分税制以后又一次对政府间财政关系进行的重大改革，更是建立现代政府治理体系的必要途径。通过改革将有力解决当前政府间财政事权和支出责任划分中存在的不清晰、不合理、不规范的问题，不断规范政府在市场关系中的职能定位，有效提高政府提供基本公共服务的能力。重点解决包括政府与市场的关系中职能不清、政府财政事权划分 不合理和省以下财政事权与支出责任划分不尽规范等。解决 政府与市场边界不清晰的问题，明确政府定位，避免政府“越 位”“错位”和“缺位”的问题，促进社会主义市场经济平稳健康发展，有效提供普惠性的基本公共服务。解决政府财政事权划分不合理问题，不断促进政府决策权和执行力相协调，推动一个事项归口一个部门管理，有效解决部门出现利益争着上、责任忙着推的不履职担当问题。解决省以下财政事权与支出责任划分不规范的问题，要着力构建事权法治化、规范化，逐步消除当前“一事一文、一文一策”等事权设立与调整 的随意性等现象，优化公共财政资源配置，着力提高政府提供基本公共服务的效率。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【转移支付】 是指货币资金、商品、服务或金融资产的所有权由一方向另一方的无偿转移。转移的对象可以是现金，也可以是实物。财政转移支付主要是指财政资源（资金）在各级政府间的无偿转移，包括横向转移和纵向转移，通常指上级政府对下级政府的财政补助。财政转移支付分为不规定具体用途，由接受地政府统筹安排使用的无条件的财政转移支付（即一般性转移支付）和由上级指定具体使用项目的有条件的财政转移支付（即专项转移支付）两种。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【一般性转移支付】 1994年分税制改革以后，我国逐步建立了规范的转移支付制度，用于解决地方财力不足、促进地区间财力均衡和实 现上级政府的宏观调控政策意图。一般性转移支付主要包括均衡性转移支付、民族地区转移支付、县级基本财力保障、农村税费改革转移支付、调整工资转移支付以及义务教育转移支付等，地方政府可以按照相关规定统筹安排和使用。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【均衡性转移支付】 均衡性转移支付的目标是扭转地区间财力差距扩大的趋势，逐步实现地方政府基本公共服务能力的均等化，推进全面建设小康社会目标的实现。均衡性转移支付资金按照力求公平、公正，循序渐进和适当照顾老少边地区的原则，参考国际通行作法，按影响财政收支的客观因素和统一的公式分配。具体到我省来说，主要参照各地财政实际支出能力和标准财政支出的差额及可用于转移支付的资金数量等客观因素，按统一公式计算确定各地转移支付数额。其中，实际支出能力是指各地的可用于财政支出的各项来源合计，以各地实际支出数并做适当调整计算；标准支出是指各地的财政支出需求，主要按地方政府规模、平均支出水平和相关成本差异系数等因素测算。对财政越困难的地区，补助程度越高。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【县级基本财力保障奖补机制】 为保障基层政府实施公共管理、提供基本公共服务以及落实各项民生政策的基本财力需要，围绕县乡政府“保工资、保运转、保基本民生”的目标，在中央财政的大力支持下，我省自 2011 年起建立了省对下的县级基本财力保障机制。将各地“保工资、保运转、保基本民生”需求，全部纳入计算，对各地财力与“三保”支出的差额给予全额补助，确保基层政府基本支出需要。2016 年进一步梳理明确涉及“人头”的基本民生事项纳入保障范围，加大资金支持，并同各州市签订保障责任书，确保各项民生政策的及时兑现落实。</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【民族地区转移支付】 为配合西部大开发战略，支持民族地区发展，国务院决定，从 2000 年起实施民族地区转移支付。同期，省财政相应建立省对下民族地区转移支付。省对下民族地区转移支付范围包括 8个民族自治州，4个少数民族较多的市，以及昆明市、玉溪市中的6个民族自治县。省财政每年根据中央财政对我省民族地区转移支付补助的情况，按照向民族贫困地 区和人口较少民族地区倾斜的原则，选取少数民族人口比 重、民族聚居程度以及财政困难程度等因素，对民族地区转移支付资金进行合理分配。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【生态功能区转移支付】 为推进生态文明建设，维护国家生态安全，引导各地政府加大生态环境保护力度，弥补生态功能区所在地政府和居民为保护生态环境所形成的实际支出与机会成本，促进经济社会可持续发展，根据财政部《国家重点生态功能区转移支 付（试点）办法》，结合云南实际，从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009年起，省财政设立了云南省生态功能区财政转移支付，不断建立完善补偿与奖励并举的生态环境补偿制度。一方面，立足云南实际构建衡量生态价值的指标体系，根据生态价值安排生态补偿资金；另一方面，实施覆盖到全省各县的年度生态环境质量考评，考评结果与生态补偿资金挂钩，并在全省通报。此外，还积极推动开展省内重点跨界水域水质补偿试点，选聘贫困人口参与生态护林补助试点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【边境地区转移支付】 为支持边境地区发展、改善边境地区群众生产、生活，加快边境地区经济社会发展，促进边疆各民族共同繁荣，从2006年开始，财政部在边境地区设立边境地区专项转移支付资金。省财政将全省 25 个边境县纳入补助范围，按边境线长度、边境县人口等客观因素计算分配资金，转移支付资金由各地边境县专项用于边境维护和管理、改善边境民生、促进边境贸易发展等方面。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【专项转移支付】 是指上级政府为实现特定的宏观政策目标，以及对委托下级政府代理的一些事务进行补偿而设立的专项补助资金。 资金接受者需按规定用途使用资金。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【农村综合改革转移支付】 是指中央和省级财政安排用于支持农村综合改革发展 工作的一般性转移支付资金。主要用于支持中央和省确定开展的农村“一事一议”财政奖补公益性项目、“一事一议”财政奖补美丽乡村、扶持村级集体经济发展、村级“四位一体”试点建设等工作，以及其他需要推动落实的农村改革发展事项。安排使用以民主议事为前提，遵循客观公正、突出重点、管理规范、力求实效的原则，采用以奖代补、民办公助、贷款贴息、政府与社会资本合作等方式，引导社会资金参与农村改革发展有关事项，放大财政资金使用效能。财政部和省财政厅按照农村人口、乡村个数、财政困难程度、重点改革任务、考评结果等因素分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【城乡义务教育经费保障机制】 从 2006 年起，根据国务院关于“明确各级责任、中央地方共担、加大财政投入、提高保障水平、分步组织实施”的基本原则，我省逐步将农村义务教育全面纳入公共财政保障范围，建立了中央、省、州（市）、县各级人民政府分项目、按比例分担的农村义务教育经费保障机制。在前期农村义务教育经费保障机制实施的基础上，2015年，国务院印发《关于进一步完善城乡义务教育经费保障机制的通知》（国发〔2015〕67 号），2016 年 8 月，省人民政府下发《云南省人民政府关于进一步完善城乡义务教育经费保障机制的通知》（云政发〔2016〕74 号），建立城乡统一的城乡义务教育经费保障机制。 城乡义务教育经费保障机制的主要内容：一是“两免一 补”，及免教科书费、免学杂费（对学校补公用经费）、对寄 宿学生提供生活费补助，二是巩固完善农村地区校舍安全保障长效机制，三是巩固落实城乡义务教育教师工资政策。</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【农村义务教育阶段学生营养膳食补助】 是党中央、国务院决定的一项重大民生工程，根据《国务院办公厅关于实施农村义务教育学生营养改善计划的意见》（国办发〔2011〕54 号）和《云南省人民政府办公厅关于贯彻落实农村义务教育学生营养改善计划的实施意见》 （云办发〔2011〕54 号）精神，我省从 2012 年春季学期开始，在 85 个国家试点县和 44 个省级试点县全面推进农村义务教育学生营养改善计划。实施范围为农村义务教育阶段学生，补助标准开始为每生每天3元，每年600 元，从2014 年11 月起，提高到每生每天4元，每年800 元。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【生均教育经费】 生均教育经费是指按照在校学生人数平均的教育费用，包含学校支出的各种费用，包含财政性经费和非财政性经费，如：教师工资、改善办学条件支出、学校公用经费等支出。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【生均公用经费】 生均公用经费是指保证学校正常运转、在教学活动和后 勤服务等方面开支的费用。公用经费开支范围包括：教学业务与管理、教师培训、实验实习、文艺体育活动（满足学校体育工作需要）、水电、交通差旅、邮电、日常专用材料等 购置，房屋、建筑物及仪器设备的日常维修维护等。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【城乡居民社会养老保险财政补助】 按照中央统一部署，我省从 2014 年7 月1 日起实现新 型农村社会养老保险和城镇居民社会养老保险两项制度合并为城乡居民基本养老保险。我省行政区域内年满16周岁（不含在校生）、未参加城镇职工基本养老保险、具有云南省户籍的城乡非从业居民，可以自愿在户籍地的县（市、区）参加城乡居民社会养老保险。城乡居民社会养老保险实行基础养老金和个人账户养老金相结合的养老待遇；实行个人缴费、集体补助、政府补贴相结合的筹资办法。年满 60 周岁 25 的参保人可以按月领取养老金。中央财政对 60 周岁以上城乡居民基础养老金每人每月补助 70 元，省财政同时补助每人每月5元。省财政对参保的城乡居民给予每人每年30元 的缴费补助，对重度残疾人代缴每人每年100元的保费。从2012年7月1日起，我省的重度残疾人可以提前到55周岁领取每人每月 60 元的基础养老金。对选择较高档次缴费和缴费时间达到一定年限的，我省还出台了相应的多缴多补、 长缴多补政策。 </w:t>
      </w: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【城乡居民最低生活保障】 对共同生活的家庭成员人均收入低于当地最低生活保 障标准且家庭财产状况符合县级以上政府规定的家庭，给予最低生活保障。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【城乡居民基本医疗保险财政补助】 城镇居民基本医疗保险是社会医疗保险的重要组成部分，具有强制性，采取以政府为主导，以居民个人（家庭） 缴费为主，政府适度补助为辅的筹资方式，按照缴费标准和待遇水平相一致的原则，为城镇居民提供医疗需求的医疗保险制度。2014 年，财政部门按照每人每年不低于 320 元的标 准对参保人进行补助。2016 年，财政补助标准提高到每人每年不低于 420 元。新型农村合作医疗是由政府组织、引导、支持，农民自愿参加，个人、集体和政府多方筹资，以大病 统筹为主的农民医疗互助共济制度。从 2003 年此项制度建立以来，新农合筹资标准由每人每年 30 元提高到 2016 年的 540 元，其中，财政补助标准由每人每年 20 元提高到 2016 年的 420 元，个人缴费标准由每人每年 10 元提高到 2016 年 的 120 元。按照国家的统一部署，2017 年 1 月 1 日起，以上两项制度合并为城乡居民基本医疗保险制度。实现覆盖范围、筹资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政策、保障待遇、医保目录、定点管理、基金管理“六统一”。  </w:t>
      </w: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【国库集中支付电子化管理改革】 是对原有财政资金支付管理方式的一次彻底变革，单纯从技术角度和表象来说，就是实现“无纸化”。通过引入“财政版网上银行”等支付结算方式，为财政资金支付打造互联网+ 式的现代化管理平台。财政部门、预算单位、人民银行、财政国库业务代理银行，利用信息网络技术，取消纸质凭证和 单据流转，依据电子指令办理财政资金支付及清算等业务， 做到所有预算单位财务人员，不再人工跑单；加盖电子印章， 不再人工签章；实行电子校验，不再人工核对；通过自动对 账，及时发现问题。从“签字画押”变为“电子签章”，从“跑银 行”变为“点鼠标”的革命性改革，节约了大量宝贵的时间，运行效能大幅提升，行政成本大幅降低。 2013 年 9 月，财政部与中国人民银行共同推进全国国库集中支付电子化管理改革工作。</w:t>
      </w: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【PPP 模式】 政府和社会资本合作模式是公共服务供给机制的重大 创新，即政府采取竞争性方式择优选择具有投资、运营管理 能力的社会资本，双方按照平等协商原则订立合同，明确责 权利关系，由社会资本提供公共服务，政府依据公共服务绩 效评价结果向社会资本支付相应对价，保证社会资本获得合 理收益。 </w:t>
      </w: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【政府投资基金】 是指由政府出资，吸引有关地方政府、金融、投资机构 和社会资本，以股权投资等方式投资于风险投资机构或新设 风险投资基金，以支持产业（企业）发展的专项资金；是政府为实现某种特定公共目标，选择专业化、市场化投资者作为合作和激励对象，主要通过私募股权投资基金方式运作的一种财政投入工具。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【普惠金融】 指立足机会平等要求和商业可持续原则，以可负担的成本为金融服务需求的社会各阶级和群体提供适当、有效的金融服务。</w:t>
      </w:r>
    </w:p>
    <w:p>
      <w:pPr>
        <w:numPr>
          <w:ilvl w:val="0"/>
          <w:numId w:val="0"/>
        </w:numPr>
        <w:rPr>
          <w:rFonts w:hint="eastAsia" w:ascii="仿宋_GB2312" w:hAnsi="仿宋_GB2312" w:eastAsia="仿宋_GB2312" w:cs="仿宋_GB2312"/>
          <w:sz w:val="32"/>
          <w:szCs w:val="32"/>
        </w:rPr>
      </w:pPr>
    </w:p>
    <w:p>
      <w:pPr>
        <w:rPr>
          <w:rFonts w:hint="eastAsia" w:ascii="仿宋" w:hAnsi="仿宋" w:eastAsia="仿宋" w:cs="仿宋"/>
          <w:sz w:val="32"/>
          <w:szCs w:val="32"/>
        </w:rPr>
      </w:pPr>
    </w:p>
    <w:sectPr>
      <w:pgSz w:w="11906" w:h="16838"/>
      <w:pgMar w:top="1440" w:right="14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C85D3"/>
    <w:multiLevelType w:val="singleLevel"/>
    <w:tmpl w:val="59EC85D3"/>
    <w:lvl w:ilvl="0" w:tentative="0">
      <w:start w:val="1"/>
      <w:numFmt w:val="chineseCounting"/>
      <w:suff w:val="nothing"/>
      <w:lvlText w:val="（%1）"/>
      <w:lvlJc w:val="left"/>
    </w:lvl>
  </w:abstractNum>
  <w:abstractNum w:abstractNumId="1">
    <w:nsid w:val="59EC85E9"/>
    <w:multiLevelType w:val="singleLevel"/>
    <w:tmpl w:val="59EC85E9"/>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08050B"/>
    <w:rsid w:val="325041EB"/>
    <w:rsid w:val="38A53F0B"/>
    <w:rsid w:val="49730F1A"/>
    <w:rsid w:val="4A08050B"/>
    <w:rsid w:val="4AE81B29"/>
    <w:rsid w:val="4E1344D5"/>
    <w:rsid w:val="4FBF5FB8"/>
    <w:rsid w:val="55480DAE"/>
    <w:rsid w:val="6A251F3E"/>
    <w:rsid w:val="734D3A99"/>
    <w:rsid w:val="761F3F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西双版纳州景洪市党政机关单位</Company>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2017-11-06T07:44:00Z</dcterms:created>
  <dc:creator>杨云华</dc:creator>
  <cp:lastModifiedBy>周蕾</cp:lastModifiedBy>
  <dcterms:modified xsi:type="dcterms:W3CDTF">2023-05-12T08:58:17Z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