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"/>
        </w:rPr>
        <w:t>附件2</w:t>
      </w:r>
    </w:p>
    <w:p>
      <w:pPr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</w:rPr>
        <w:t>游泳场所体育设施符合相关国家标准的说明性材料</w:t>
      </w:r>
    </w:p>
    <w:p>
      <w:pPr>
        <w:rPr>
          <w:rFonts w:hint="eastAsia" w:ascii="方正楷体_GBK" w:hAnsi="方正楷体_GBK" w:eastAsia="方正楷体_GBK" w:cs="方正楷体_GBK"/>
          <w:kern w:val="2"/>
          <w:sz w:val="32"/>
          <w:szCs w:val="32"/>
          <w:lang w:val="en-US" w:eastAsia="zh-CN" w:bidi="ar"/>
        </w:rPr>
      </w:pPr>
      <w:r>
        <w:rPr>
          <w:rFonts w:hint="eastAsia" w:ascii="方正楷体_GBK" w:hAnsi="方正楷体_GBK" w:eastAsia="方正楷体_GBK" w:cs="方正楷体_GBK"/>
          <w:kern w:val="2"/>
          <w:sz w:val="32"/>
          <w:szCs w:val="32"/>
          <w:lang w:val="en-US" w:eastAsia="zh-CN" w:bidi="ar"/>
        </w:rPr>
        <w:t>游泳场所名称：                 地址：</w:t>
      </w:r>
    </w:p>
    <w:p>
      <w:pPr>
        <w:rPr>
          <w:rFonts w:hint="eastAsia" w:ascii="方正楷体_GBK" w:hAnsi="方正楷体_GBK" w:eastAsia="方正楷体_GBK" w:cs="方正楷体_GBK"/>
          <w:kern w:val="2"/>
          <w:sz w:val="32"/>
          <w:szCs w:val="32"/>
          <w:lang w:val="en-US" w:eastAsia="zh-CN" w:bidi="ar"/>
        </w:rPr>
      </w:pPr>
      <w:r>
        <w:rPr>
          <w:rFonts w:hint="eastAsia" w:ascii="方正楷体_GBK" w:hAnsi="方正楷体_GBK" w:eastAsia="方正楷体_GBK" w:cs="方正楷体_GBK"/>
          <w:kern w:val="2"/>
          <w:sz w:val="32"/>
          <w:szCs w:val="32"/>
          <w:lang w:val="en-US" w:eastAsia="zh-CN" w:bidi="ar"/>
        </w:rPr>
        <w:t>游泳场所尺寸及面积：</w:t>
      </w:r>
    </w:p>
    <w:tbl>
      <w:tblPr>
        <w:tblStyle w:val="4"/>
        <w:tblW w:w="1029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8648"/>
        <w:gridCol w:w="9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705" w:type="dxa"/>
            <w:shd w:val="clear" w:color="auto" w:fill="auto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场所</w:t>
            </w:r>
          </w:p>
        </w:tc>
        <w:tc>
          <w:tcPr>
            <w:tcW w:w="8648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主要内容说明</w:t>
            </w:r>
          </w:p>
        </w:tc>
        <w:tc>
          <w:tcPr>
            <w:tcW w:w="938" w:type="dxa"/>
            <w:shd w:val="clear" w:color="auto" w:fill="auto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是否合格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  <w:jc w:val="center"/>
        </w:trPr>
        <w:tc>
          <w:tcPr>
            <w:tcW w:w="705" w:type="dxa"/>
            <w:vMerge w:val="restart"/>
            <w:shd w:val="clear" w:color="auto" w:fill="auto"/>
            <w:textDirection w:val="tbRlV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113" w:right="113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</w:rPr>
              <w:t>人工游泳场所</w:t>
            </w:r>
          </w:p>
        </w:tc>
        <w:tc>
          <w:tcPr>
            <w:tcW w:w="8648" w:type="dxa"/>
            <w:shd w:val="clear" w:color="auto" w:fill="auto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游泳池壁及池底光洁、不渗水、呈浅色</w:t>
            </w:r>
          </w:p>
        </w:tc>
        <w:tc>
          <w:tcPr>
            <w:tcW w:w="938" w:type="dxa"/>
            <w:shd w:val="clear" w:color="auto" w:fill="auto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705" w:type="dxa"/>
            <w:vMerge w:val="continue"/>
            <w:shd w:val="clear" w:color="auto" w:fill="auto"/>
            <w:textDirection w:val="tbRlV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113" w:right="113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8648" w:type="dxa"/>
            <w:shd w:val="clear" w:color="auto" w:fill="auto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无视线盲区</w:t>
            </w:r>
          </w:p>
        </w:tc>
        <w:tc>
          <w:tcPr>
            <w:tcW w:w="938" w:type="dxa"/>
            <w:shd w:val="clear" w:color="auto" w:fill="auto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continue"/>
            <w:shd w:val="clear" w:color="auto" w:fill="auto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864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带出发台的游泳池，从出发端开始延伸至少6米的范围内，水深应不小于1.35米</w:t>
            </w:r>
          </w:p>
        </w:tc>
        <w:tc>
          <w:tcPr>
            <w:tcW w:w="938" w:type="dxa"/>
            <w:shd w:val="clear" w:color="auto" w:fill="auto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continue"/>
            <w:shd w:val="clear" w:color="auto" w:fill="auto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864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池面有明显的水深度、深浅水区警示标识，或标志明显的深、浅水隔离带</w:t>
            </w:r>
          </w:p>
        </w:tc>
        <w:tc>
          <w:tcPr>
            <w:tcW w:w="938" w:type="dxa"/>
            <w:shd w:val="clear" w:color="auto" w:fill="auto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continue"/>
            <w:shd w:val="clear" w:color="auto" w:fill="auto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864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水面面积500㎡以下至少2个，500㎡以上（含500㎡）至少4个出入水池扶梯</w:t>
            </w:r>
          </w:p>
        </w:tc>
        <w:tc>
          <w:tcPr>
            <w:tcW w:w="938" w:type="dxa"/>
            <w:shd w:val="clear" w:color="auto" w:fill="auto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6" w:hRule="atLeast"/>
          <w:jc w:val="center"/>
        </w:trPr>
        <w:tc>
          <w:tcPr>
            <w:tcW w:w="705" w:type="dxa"/>
            <w:vMerge w:val="continue"/>
            <w:shd w:val="clear" w:color="auto" w:fill="auto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864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扶梯应经过光滑倒角处理，不应有粗糙或锐角部位</w:t>
            </w:r>
          </w:p>
        </w:tc>
        <w:tc>
          <w:tcPr>
            <w:tcW w:w="938" w:type="dxa"/>
            <w:shd w:val="clear" w:color="auto" w:fill="auto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continue"/>
            <w:shd w:val="clear" w:color="auto" w:fill="auto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864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游泳池池岸、卫生间、淋浴间及更衣室地面应防滑，在湿润状态下地面静摩擦系数不少于0.5</w:t>
            </w:r>
          </w:p>
        </w:tc>
        <w:tc>
          <w:tcPr>
            <w:tcW w:w="938" w:type="dxa"/>
            <w:shd w:val="clear" w:color="auto" w:fill="auto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  <w:jc w:val="center"/>
        </w:trPr>
        <w:tc>
          <w:tcPr>
            <w:tcW w:w="705" w:type="dxa"/>
            <w:vMerge w:val="continue"/>
            <w:shd w:val="clear" w:color="auto" w:fill="auto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864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游泳池内的排水设施应设置安全防护罩</w:t>
            </w:r>
          </w:p>
        </w:tc>
        <w:tc>
          <w:tcPr>
            <w:tcW w:w="938" w:type="dxa"/>
            <w:shd w:val="clear" w:color="auto" w:fill="auto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  <w:jc w:val="center"/>
        </w:trPr>
        <w:tc>
          <w:tcPr>
            <w:tcW w:w="705" w:type="dxa"/>
            <w:vMerge w:val="continue"/>
            <w:shd w:val="clear" w:color="auto" w:fill="auto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864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游泳池区域的水面水平照度不低于200lx</w:t>
            </w:r>
          </w:p>
        </w:tc>
        <w:tc>
          <w:tcPr>
            <w:tcW w:w="938" w:type="dxa"/>
            <w:shd w:val="clear" w:color="auto" w:fill="auto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  <w:jc w:val="center"/>
        </w:trPr>
        <w:tc>
          <w:tcPr>
            <w:tcW w:w="705" w:type="dxa"/>
            <w:vMerge w:val="continue"/>
            <w:shd w:val="clear" w:color="auto" w:fill="auto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864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开放夜场有足够的应急照明灯</w:t>
            </w:r>
          </w:p>
        </w:tc>
        <w:tc>
          <w:tcPr>
            <w:tcW w:w="938" w:type="dxa"/>
            <w:shd w:val="clear" w:color="auto" w:fill="auto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" w:hRule="atLeast"/>
          <w:jc w:val="center"/>
        </w:trPr>
        <w:tc>
          <w:tcPr>
            <w:tcW w:w="705" w:type="dxa"/>
            <w:vMerge w:val="continue"/>
            <w:shd w:val="clear" w:color="auto" w:fill="auto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864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儿童游泳池不应配备戏水设备</w:t>
            </w:r>
          </w:p>
        </w:tc>
        <w:tc>
          <w:tcPr>
            <w:tcW w:w="938" w:type="dxa"/>
            <w:shd w:val="clear" w:color="auto" w:fill="auto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  <w:jc w:val="center"/>
        </w:trPr>
        <w:tc>
          <w:tcPr>
            <w:tcW w:w="705" w:type="dxa"/>
            <w:vMerge w:val="continue"/>
            <w:shd w:val="clear" w:color="auto" w:fill="auto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864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有广播设施</w:t>
            </w:r>
          </w:p>
        </w:tc>
        <w:tc>
          <w:tcPr>
            <w:tcW w:w="938" w:type="dxa"/>
            <w:shd w:val="clear" w:color="auto" w:fill="auto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continue"/>
            <w:shd w:val="clear" w:color="auto" w:fill="auto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864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游泳池水面面积250㎡以下的，应至少设置2个救生观察台，水面面积在250㎡及以上的，应按面积每增加250㎡及以内增设1个救生观察台</w:t>
            </w:r>
          </w:p>
        </w:tc>
        <w:tc>
          <w:tcPr>
            <w:tcW w:w="938" w:type="dxa"/>
            <w:shd w:val="clear" w:color="auto" w:fill="auto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  <w:jc w:val="center"/>
        </w:trPr>
        <w:tc>
          <w:tcPr>
            <w:tcW w:w="705" w:type="dxa"/>
            <w:vMerge w:val="continue"/>
            <w:shd w:val="clear" w:color="auto" w:fill="auto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864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救生观察台高度不小于1.5m</w:t>
            </w:r>
          </w:p>
        </w:tc>
        <w:tc>
          <w:tcPr>
            <w:tcW w:w="938" w:type="dxa"/>
            <w:shd w:val="clear" w:color="auto" w:fill="auto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  <w:jc w:val="center"/>
        </w:trPr>
        <w:tc>
          <w:tcPr>
            <w:tcW w:w="705" w:type="dxa"/>
            <w:vMerge w:val="continue"/>
            <w:shd w:val="clear" w:color="auto" w:fill="auto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864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有救生圈、救生杆和护颈套等救生器材</w:t>
            </w:r>
          </w:p>
        </w:tc>
        <w:tc>
          <w:tcPr>
            <w:tcW w:w="938" w:type="dxa"/>
            <w:shd w:val="clear" w:color="auto" w:fill="auto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  <w:jc w:val="center"/>
        </w:trPr>
        <w:tc>
          <w:tcPr>
            <w:tcW w:w="705" w:type="dxa"/>
            <w:vMerge w:val="continue"/>
            <w:shd w:val="clear" w:color="auto" w:fill="auto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864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有急救药品、氧气袋等急救用品</w:t>
            </w:r>
          </w:p>
        </w:tc>
        <w:tc>
          <w:tcPr>
            <w:tcW w:w="938" w:type="dxa"/>
            <w:shd w:val="clear" w:color="auto" w:fill="auto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continue"/>
            <w:shd w:val="clear" w:color="auto" w:fill="auto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864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在醒目位置悬挂社会体育指导员（游泳）、游泳救生员的姓名、照片、职业资格证书编号等信息</w:t>
            </w:r>
          </w:p>
        </w:tc>
        <w:tc>
          <w:tcPr>
            <w:tcW w:w="938" w:type="dxa"/>
            <w:shd w:val="clear" w:color="auto" w:fill="auto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continue"/>
            <w:shd w:val="clear" w:color="auto" w:fill="auto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864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在醒目位置悬挂</w:t>
            </w: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lang w:eastAsia="zh-CN"/>
              </w:rPr>
              <w:t>“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游泳人员须知</w:t>
            </w: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lang w:eastAsia="zh-CN"/>
              </w:rPr>
              <w:t>”“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严禁跳水</w:t>
            </w: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lang w:eastAsia="zh-CN"/>
              </w:rPr>
              <w:t>”“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严禁追跑打闹</w:t>
            </w: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lang w:eastAsia="zh-CN"/>
              </w:rPr>
              <w:t>”“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防滑</w:t>
            </w: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lang w:eastAsia="zh-CN"/>
              </w:rPr>
              <w:t>”“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佩戴泳帽</w:t>
            </w: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lang w:eastAsia="zh-CN"/>
              </w:rPr>
              <w:t>”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等必要的安全警示</w:t>
            </w:r>
          </w:p>
        </w:tc>
        <w:tc>
          <w:tcPr>
            <w:tcW w:w="938" w:type="dxa"/>
            <w:shd w:val="clear" w:color="auto" w:fill="auto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  <w:jc w:val="center"/>
        </w:trPr>
        <w:tc>
          <w:tcPr>
            <w:tcW w:w="705" w:type="dxa"/>
            <w:vMerge w:val="continue"/>
            <w:shd w:val="clear" w:color="auto" w:fill="auto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864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在醒目位置悬挂溺水抢救操作规程及溺水事故处理制度等</w:t>
            </w:r>
          </w:p>
        </w:tc>
        <w:tc>
          <w:tcPr>
            <w:tcW w:w="938" w:type="dxa"/>
            <w:shd w:val="clear" w:color="auto" w:fill="auto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</w:tbl>
    <w:p>
      <w:pPr>
        <w:jc w:val="center"/>
        <w:rPr>
          <w:rFonts w:hint="eastAsia" w:ascii="方正楷体_GBK" w:hAnsi="方正楷体_GBK" w:eastAsia="方正楷体_GBK" w:cs="方正楷体_GBK"/>
          <w:sz w:val="32"/>
          <w:szCs w:val="32"/>
        </w:rPr>
      </w:pPr>
    </w:p>
    <w:p>
      <w:pPr>
        <w:jc w:val="both"/>
        <w:rPr>
          <w:rFonts w:hint="eastAsia" w:ascii="方正楷体_GBK" w:hAnsi="方正楷体_GBK" w:eastAsia="方正楷体_GBK" w:cs="方正楷体_GBK"/>
          <w:sz w:val="30"/>
          <w:szCs w:val="30"/>
        </w:rPr>
      </w:pPr>
      <w:bookmarkStart w:id="0" w:name="_GoBack"/>
      <w:bookmarkEnd w:id="0"/>
      <w:r>
        <w:rPr>
          <w:rFonts w:hint="eastAsia" w:ascii="方正楷体_GBK" w:hAnsi="方正楷体_GBK" w:eastAsia="方正楷体_GBK" w:cs="方正楷体_GBK"/>
          <w:sz w:val="32"/>
          <w:szCs w:val="32"/>
        </w:rPr>
        <w:t>检查人：</w:t>
      </w:r>
    </w:p>
    <w:p>
      <w:pPr>
        <w:jc w:val="center"/>
        <w:rPr>
          <w:rFonts w:hint="eastAsia" w:ascii="方正楷体_GBK" w:hAnsi="方正楷体_GBK" w:eastAsia="方正楷体_GBK" w:cs="方正楷体_GBK"/>
        </w:rPr>
      </w:pPr>
      <w:r>
        <w:rPr>
          <w:rFonts w:hint="eastAsia" w:ascii="方正楷体_GBK" w:hAnsi="方正楷体_GBK" w:eastAsia="方正楷体_GBK" w:cs="方正楷体_GBK"/>
          <w:sz w:val="30"/>
          <w:szCs w:val="30"/>
        </w:rPr>
        <w:t>检查单位（盖章）：                    年    月 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字迹-启笛小楷繁体">
    <w:panose1 w:val="02010600010101010101"/>
    <w:charset w:val="86"/>
    <w:family w:val="auto"/>
    <w:pitch w:val="default"/>
    <w:sig w:usb0="A00002BF" w:usb1="18CF7CFA" w:usb2="00000016" w:usb3="00000000" w:csb0="00040000" w:csb1="00000000"/>
  </w:font>
  <w:font w:name="方正超粗黑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ljYWU4NmQ2Nzk2ZmViZjMxZjFlNzc0MzAzMDdiYjgifQ=="/>
  </w:docVars>
  <w:rsids>
    <w:rsidRoot w:val="00CB4F4A"/>
    <w:rsid w:val="00014533"/>
    <w:rsid w:val="00017D98"/>
    <w:rsid w:val="00022F64"/>
    <w:rsid w:val="000C2285"/>
    <w:rsid w:val="00124996"/>
    <w:rsid w:val="00174C92"/>
    <w:rsid w:val="00184D50"/>
    <w:rsid w:val="001C2525"/>
    <w:rsid w:val="001C2F93"/>
    <w:rsid w:val="0026498F"/>
    <w:rsid w:val="002A7261"/>
    <w:rsid w:val="003108B2"/>
    <w:rsid w:val="004D00FB"/>
    <w:rsid w:val="004D64EE"/>
    <w:rsid w:val="004E21A7"/>
    <w:rsid w:val="00507848"/>
    <w:rsid w:val="00A26819"/>
    <w:rsid w:val="00B71907"/>
    <w:rsid w:val="00C87985"/>
    <w:rsid w:val="00C970A6"/>
    <w:rsid w:val="00CA13EC"/>
    <w:rsid w:val="00CB4F4A"/>
    <w:rsid w:val="00CD6C96"/>
    <w:rsid w:val="00D2191F"/>
    <w:rsid w:val="00D520B7"/>
    <w:rsid w:val="00E263F1"/>
    <w:rsid w:val="00E94EA3"/>
    <w:rsid w:val="00F55FE0"/>
    <w:rsid w:val="41A47945"/>
    <w:rsid w:val="45216EE0"/>
    <w:rsid w:val="46BE610B"/>
    <w:rsid w:val="78480AB7"/>
    <w:rsid w:val="7F1A3D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ascii="Calibri" w:hAnsi="Calibri" w:eastAsia="宋体" w:cs="Times New Roman"/>
      <w:kern w:val="2"/>
      <w:sz w:val="21"/>
      <w:szCs w:val="22"/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544</Words>
  <Characters>568</Characters>
  <Lines>5</Lines>
  <Paragraphs>1</Paragraphs>
  <TotalTime>3</TotalTime>
  <ScaleCrop>false</ScaleCrop>
  <LinksUpToDate>false</LinksUpToDate>
  <CharactersWithSpaces>639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2013-04-28T03:39:00Z</dcterms:created>
  <dc:creator>zfs</dc:creator>
  <cp:lastModifiedBy>☞H☜</cp:lastModifiedBy>
  <cp:lastPrinted>2014-04-24T03:44:00Z</cp:lastPrinted>
  <dcterms:modified xsi:type="dcterms:W3CDTF">2023-06-15T07:32:31Z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  <property fmtid="{D5CDD505-2E9C-101B-9397-08002B2CF9AE}" pid="3" name="ICV">
    <vt:lpwstr>3721719722D64A889DD1F29D284ECAD3_13</vt:lpwstr>
  </property>
</Properties>
</file>