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60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ab/>
      </w: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景洪市调整城镇土地使用税等级地段</w:t>
      </w:r>
    </w:p>
    <w:p w14:paraId="47892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界线划定（草案）</w:t>
      </w:r>
    </w:p>
    <w:bookmarkEnd w:id="0"/>
    <w:p w14:paraId="0C453896">
      <w:pPr>
        <w:keepNext w:val="0"/>
        <w:keepLines w:val="0"/>
        <w:pageBreakBefore w:val="0"/>
        <w:widowControl w:val="0"/>
        <w:tabs>
          <w:tab w:val="left" w:pos="277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8C5E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随着景洪市经济社会及城镇建设的不断发展，原《景洪市人民政府关于印发&lt;景洪市城镇土地使用税等级地段界线划定方案&gt;的通知》（景政发[2008]14号）规定的征税范围地段、级别、标志、名称等发生了变化，不再符合现阶段景洪市经济发展地段分布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为适应新形势下的税收征管，结合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景洪市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实际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，调整城镇土地使用税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等级地段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界线划定方案。</w:t>
      </w:r>
    </w:p>
    <w:p w14:paraId="690700E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调整背景</w:t>
      </w:r>
    </w:p>
    <w:p w14:paraId="3F1AE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镇土地使用税自1988年开征以来，景洪市经济形势发生了巨大的变化，市政建设得到长足发展。而景洪市现行的城镇土地使用税等级税额标准仍是2008年根据当时城市（包括市区和郊区、建制镇、工矿区）各地段土地级差和经济繁荣程度确定的，这与现阶段实际经济发展水平不符。近年来随着景洪市经济的高速发展和城市规划的调整变化，人口居住分配更趋向多元化，城市经济中心随着人口集中点的变化而变化，已不再是以版纳大厦为中心的经济区。告庄西双景、曼弄枫片区、嘎栋片区成了城市新的经济发展中心，撤镇改街道（嘎洒）的实施和市镇道路、街道名称的变更，使景洪市城镇和地段的地级差有了较大幅度的变化，但现行的城镇土地使用税的征收管理仍按《景洪市人民政府关于印发&lt;景洪市城镇土地使用税等级地段界线划定方案&gt;的通知》（景政发[2008]14号）文件执行，一方面造成城镇土地使用税的等级税额与地级的变化不相适应，另一方面造成税务机关征收地级界线不清的难度。</w:t>
      </w:r>
    </w:p>
    <w:p w14:paraId="5872D2E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经济前景</w:t>
      </w:r>
    </w:p>
    <w:p w14:paraId="25E402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现行的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《景洪市人民政府关于印发&lt;景洪市城镇土地使用税等级地段界线划定方案&gt;的通知》（景政发[2008]14号）文件规定，“告庄西双景”仍采用城区三级地段的税额标准（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2元/㎡），现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“告庄西双景”已成为景洪市甚至云南省都较为出名的热门景点，经济发展极为迅速，土地基准地价较高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；“西双十二城”现采用的也是城区三级地段的税额标准（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2元/㎡），该地段已成为人口较集中的消费中心，土地基准地价较高；“曼弄枫片区、嘎栋片区”现采用的是四级地段税额标准（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1元/㎡），目前两区是外来人口较密集，房地产开发较集中的地区，土地基准地价较高；嘎洒撤镇改街道后已不再适用建制镇等级地段税额（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0.8-1元/㎡）。随着城市经济发展，为充分发挥税收的经济调节职能，提升土地的使用价值，结合实际这些地段土地使用税额标准都应做适当的调整。通过调整景洪市范围内城镇土地使用税等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级地段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界线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范围可提升相应的税收，调整后一级、二级地段征税界线范围扩面较大，每年增加地方财政收入5000多万元。</w:t>
      </w:r>
    </w:p>
    <w:p w14:paraId="26B824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三、划定依据</w:t>
      </w:r>
    </w:p>
    <w:p w14:paraId="5E10B1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景洪市城镇土地使用税等级地段界限划定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2022年4月1日正式公布实施的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《景洪市人民政府关于公布实施景洪市城市规划区及勐养镇等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8乡镇集镇规划区土地定级与基准地价更新测算成果、景洪市城市规划区标定地价体系建设成果的公告》（以下简称“公告”）文件，依据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《中华人民共和国城镇土地使用税暂行条例》第五条第二款“市、县人民政府应当根据实际情况，将本地区土地划分为若干等级，在省、自治区、直辖市人民政府确定的税额幅度内，制定相应的适用税额标准，报省、自治区、直辖市人民政府批准执行。”之规定，结合景洪实际重新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确定相应的城镇土地使用税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等级地段具体界线。</w:t>
      </w:r>
    </w:p>
    <w:p w14:paraId="2A8163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景洪市城区一、二、三级地段范围参考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公告》中景洪市城区的Ⅰ级、Ⅱ级、Ⅲ级商服用地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景洪市城区四级地段范围参考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公告》中景洪市城区的Ⅳ级、Ⅴ级商服用地；勐养镇、勐龙镇和普文镇一级地段范围参考《公告》中勐养镇、勐龙镇和普文镇的Ⅰ级综合用地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勐养镇、勐龙镇和普文镇二级地段范围参考《公告》中勐养镇、勐龙镇和普文镇的Ⅱ级、Ⅲ级综合用地；勐罕镇一级地段范围参考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公告》中橄榄坝片区属于勐罕镇辖区的Ⅰ级综合用地，勐罕镇二级地段范围参考《公告》中橄榄坝片区属于勐罕镇辖区的Ⅱ级、Ⅲ级综合用地。（具体图例可参看《公告》中的成果图。）</w:t>
      </w:r>
    </w:p>
    <w:p w14:paraId="1DE4F2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具体界限</w:t>
      </w:r>
    </w:p>
    <w:p w14:paraId="6945E4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（一）景洪市城区四个等级地段具体界线</w:t>
      </w:r>
    </w:p>
    <w:p w14:paraId="3D7516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1.一级地段</w:t>
      </w:r>
    </w:p>
    <w:p w14:paraId="02D8D7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  <w:t>东至：澜沧江黎明大桥、锦绣时光、告庄西双景；西至：曼沙路、么龙路、勐海路；南至：州民族中学、丽水景苑、雨林大道；北至：融创国际、金山绿水小区、林语江畔。（主要包括：景洪大桥、曲靖一中景洪学校、市一中、热带作物研究所、市第一小学、职业技术学校、南国帝景、山水云天、世纪金源、傣泐金湾、怡景湾、市民中、曼斗佛寺等周边区域。）</w:t>
      </w:r>
    </w:p>
    <w:p w14:paraId="612C14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2.二级地段</w:t>
      </w:r>
    </w:p>
    <w:p w14:paraId="45EF8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  <w:t>东至：梦云南雨林澜山；西至：曼景傣佛寺、西双版纳嘎洒国际机场、景洪高铁站；南至：曼勐、曼景保、曼真、岭秀映像、勐泐大佛寺；北至：西双版纳万达主题公园。（主要包括：曼沙村、曼东、雨林溪谷、景丰小区、俊发滨江俊园、秋实园、育才学校、兴豪门等周边区域。）</w:t>
      </w:r>
    </w:p>
    <w:p w14:paraId="59E6EC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3.三级地段</w:t>
      </w:r>
    </w:p>
    <w:p w14:paraId="2F841E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宋体" w:hAnsi="宋体" w:eastAsia="宋体" w:cs="宋体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  <w:t>东至：曼景栋；西至：曼坝过；南至：曼别；北至：安麻园、曼贺勐。（主要包括：曼列、曼柳、曼广龙、喜来登大酒店、客运站、东盟国际、团山老寨等周边区域。）</w:t>
      </w:r>
    </w:p>
    <w:p w14:paraId="16332A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4.四级地段</w:t>
      </w:r>
    </w:p>
    <w:p w14:paraId="0767C6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除一、二、三级地段以外的部分。（主要包括：悦景庄西双版纳、曼达村、曼养、天河小学、雅居乐西双林语等周边区域。）</w:t>
      </w:r>
    </w:p>
    <w:p w14:paraId="0A630E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（二）勐养镇</w:t>
      </w:r>
    </w:p>
    <w:p w14:paraId="424A67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1.一级地段</w:t>
      </w:r>
    </w:p>
    <w:p w14:paraId="6B7BB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小勐养收费站--客运站--勐养镇政府--景洪市第三中学--七彩国际等周边区域。</w:t>
      </w:r>
    </w:p>
    <w:p w14:paraId="5B18C7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2.二级地段</w:t>
      </w:r>
    </w:p>
    <w:p w14:paraId="30CF44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思茅古寨以南--火车站--曼龙岗以北--曼介去以西周边区域。</w:t>
      </w:r>
    </w:p>
    <w:p w14:paraId="587F91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（三）勐罕镇</w:t>
      </w:r>
    </w:p>
    <w:p w14:paraId="5DF33E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1.一级地段</w:t>
      </w:r>
    </w:p>
    <w:p w14:paraId="10B637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镇中心小学--曼么罕村--勐罕镇政府--自然资源所--龙得湖以西--农场医院--中国石化等周边区域。</w:t>
      </w:r>
    </w:p>
    <w:p w14:paraId="356351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2.二级地段</w:t>
      </w:r>
    </w:p>
    <w:p w14:paraId="5A8CAE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德馨把--盛景新城--曼天佛寺--曼乍村--泼水广场--曼降村周边区域。</w:t>
      </w:r>
    </w:p>
    <w:p w14:paraId="4A289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（四）勐龙镇（东风农场）</w:t>
      </w:r>
    </w:p>
    <w:p w14:paraId="6570B4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1.一级地段</w:t>
      </w:r>
    </w:p>
    <w:p w14:paraId="742E59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勐龙镇卫生院--供电所--景乃寺庙--镇政府--勐龙夜市场--嘎龙村寺庙--农村信用社--农业综合服务中心等周边区域。</w:t>
      </w:r>
    </w:p>
    <w:p w14:paraId="6D79CE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东风农场医院--东风花园--东风文化广场--东风电力小区--东风广场--曼景湾--龙泉公墓以西等周边区域。</w:t>
      </w:r>
    </w:p>
    <w:p w14:paraId="74782F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2.二级地段</w:t>
      </w:r>
    </w:p>
    <w:p w14:paraId="7BC012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勐龙中心小学--043乡道--景尖村周边区域。</w:t>
      </w:r>
    </w:p>
    <w:p w14:paraId="6ECAE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景阳橡胶--红卫生产队--小街幼儿园--曼康湾周边区域。</w:t>
      </w:r>
    </w:p>
    <w:p w14:paraId="6E6F6A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（五）普文镇</w:t>
      </w:r>
    </w:p>
    <w:p w14:paraId="43AA1F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1.一级地段</w:t>
      </w:r>
    </w:p>
    <w:p w14:paraId="7B9CA3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瘴气河大道--茶馨苑--镇政府--普文农场--农贸市场--中国邮政等周边区域。</w:t>
      </w:r>
    </w:p>
    <w:p w14:paraId="2FF1B7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2.二级地段</w:t>
      </w:r>
    </w:p>
    <w:p w14:paraId="28283F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镇中学--中池农业--畔溪酒店--农村商业银行周边区域。</w:t>
      </w:r>
    </w:p>
    <w:p w14:paraId="3E5CF2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五、异议处理</w:t>
      </w:r>
    </w:p>
    <w:p w14:paraId="3640CB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纳税人应税土地同时符合两个等级地段规定的，能够划分的分别按各自占用地段来计征，无法划分的按高等级地段税额计征。</w:t>
      </w:r>
    </w:p>
    <w:p w14:paraId="34AB30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六、争议解释</w:t>
      </w:r>
    </w:p>
    <w:p w14:paraId="643571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具体标识不够清楚、界线有争议的，由景洪市人民政府确定。</w:t>
      </w:r>
    </w:p>
    <w:p w14:paraId="2A15C1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C1783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9" w:firstLineChars="13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B664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</w:t>
      </w:r>
    </w:p>
    <w:p w14:paraId="1135F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/>
          <w:color w:val="auto"/>
          <w:highlight w:val="none"/>
        </w:rPr>
      </w:pPr>
    </w:p>
    <w:p w14:paraId="364B2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</w:pPr>
    </w:p>
    <w:p w14:paraId="18D12BE8"/>
    <w:sectPr>
      <w:headerReference r:id="rId3" w:type="default"/>
      <w:footerReference r:id="rId4" w:type="default"/>
      <w:footerReference r:id="rId5" w:type="even"/>
      <w:pgSz w:w="11906" w:h="16838"/>
      <w:pgMar w:top="1440" w:right="1463" w:bottom="1440" w:left="1463" w:header="851" w:footer="992" w:gutter="0"/>
      <w:pgNumType w:fmt="decimal" w:start="1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0FB907">
    <w:pPr>
      <w:pStyle w:val="3"/>
      <w:wordWrap w:val="0"/>
      <w:ind w:firstLine="180" w:firstLineChars="10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0F8C23B">
                          <w:pPr>
                            <w:pStyle w:val="3"/>
                            <w:wordWrap w:val="0"/>
                            <w:ind w:firstLine="281" w:firstLineChars="100"/>
                            <w:jc w:val="right"/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b/>
                              <w:bCs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b/>
                              <w:bCs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b/>
                              <w:bCs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b/>
                              <w:bCs/>
                              <w:sz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F8C23B">
                    <w:pPr>
                      <w:pStyle w:val="3"/>
                      <w:wordWrap w:val="0"/>
                      <w:ind w:firstLine="281" w:firstLineChars="100"/>
                      <w:jc w:val="right"/>
                    </w:pPr>
                    <w:r>
                      <w:rPr>
                        <w:rStyle w:val="6"/>
                        <w:rFonts w:hint="eastAsia" w:ascii="宋体" w:hAnsi="宋体"/>
                        <w:b/>
                        <w:bCs/>
                        <w:sz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b/>
                        <w:bCs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b/>
                        <w:bCs/>
                        <w:sz w:val="28"/>
                      </w:rPr>
                      <w:t>1</w: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b/>
                        <w:bCs/>
                        <w:sz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771C1">
    <w:pPr>
      <w:pStyle w:val="3"/>
      <w:ind w:firstLine="280" w:firstLineChars="100"/>
      <w:rPr>
        <w:rFonts w:hint="eastAsia" w:ascii="宋体" w:hAnsi="宋体"/>
        <w:b/>
        <w:bCs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B5AF4D5">
                          <w:pPr>
                            <w:pStyle w:val="3"/>
                            <w:ind w:firstLine="281" w:firstLineChars="100"/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b/>
                              <w:bCs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b/>
                              <w:bCs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b/>
                              <w:bCs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b/>
                              <w:bCs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b/>
                              <w:bCs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AF4D5">
                    <w:pPr>
                      <w:pStyle w:val="3"/>
                      <w:ind w:firstLine="281" w:firstLineChars="100"/>
                    </w:pPr>
                    <w:r>
                      <w:rPr>
                        <w:rStyle w:val="6"/>
                        <w:rFonts w:hint="eastAsia" w:ascii="宋体" w:hAnsi="宋体"/>
                        <w:b/>
                        <w:bCs/>
                        <w:sz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b/>
                        <w:bCs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b/>
                        <w:bCs/>
                        <w:sz w:val="28"/>
                      </w:rPr>
                      <w:t>2</w:t>
                    </w:r>
                    <w:r>
                      <w:rPr>
                        <w:rFonts w:ascii="宋体" w:hAnsi="宋体"/>
                        <w:b/>
                        <w:bCs/>
                        <w:sz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b/>
                        <w:bCs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CA26C">
    <w:pPr>
      <w:jc w:val="cen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0AF008"/>
    <w:multiLevelType w:val="singleLevel"/>
    <w:tmpl w:val="890AF008"/>
    <w:lvl w:ilvl="0" w:tentative="0">
      <w:start w:val="1"/>
      <w:numFmt w:val="chineseCounting"/>
      <w:suff w:val="nothing"/>
      <w:lvlText w:val="%1、"/>
      <w:lvlJc w:val="left"/>
      <w:pPr>
        <w:ind w:left="19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4E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2024-11-14T08:41:48Z</dcterms:created>
  <dc:creator>DELL</dc:creator>
  <cp:lastModifiedBy>DELL</cp:lastModifiedBy>
  <dcterms:modified xsi:type="dcterms:W3CDTF">2024-11-14T08:41:58Z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6B50EFBE600146F99D60AA3DAFEAA230_12</vt:lpwstr>
  </property>
</Properties>
</file>