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E936A5">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西双版纳州生态环境局景洪分局关于景洪市“澜沧江、流沙河”流域城区段水生态修复</w:t>
      </w:r>
    </w:p>
    <w:p w14:paraId="0521BD6A">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及水生态旅游资源开发项目(EOD)景洪市</w:t>
      </w:r>
    </w:p>
    <w:p w14:paraId="3459A656">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城区澜沧江、流沙河流域水生态修复及</w:t>
      </w:r>
    </w:p>
    <w:p w14:paraId="2465214D">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景观提升工程(一期)白象沙滩</w:t>
      </w:r>
    </w:p>
    <w:p w14:paraId="7255812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14</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olor w:val="auto"/>
          <w:sz w:val="32"/>
          <w:szCs w:val="32"/>
          <w:highlight w:val="none"/>
          <w:lang w:val="en-US" w:eastAsia="zh-CN"/>
        </w:rPr>
        <w:t>中铁建发展集团（西双版纳）生态开发有限公司</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北京中咨华宇环保技术有限公司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景洪市“澜沧江、流沙河”流域城区段水生态修复及水生态旅游资源开发项目(EOD)景洪市城区澜沧江、流沙河流域水生态修复及景观提升工程(一期)白象沙滩环境影响报告表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3D92D614">
      <w:pPr>
        <w:spacing w:line="560" w:lineRule="exact"/>
        <w:ind w:firstLine="640" w:firstLineChars="200"/>
        <w:rPr>
          <w:rFonts w:hint="eastAsia" w:ascii="Times New Roman" w:hAnsi="Times New Roman" w:eastAsia="方正仿宋_GBK"/>
          <w:color w:val="auto"/>
          <w:sz w:val="32"/>
          <w:szCs w:val="32"/>
          <w:highlight w:val="none"/>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2407-532801-04-01-229869</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云南省西双版纳州景洪市龙舟广场与澜沧江之间的临江滨水区域</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总占地面积22.50hm²,其中永久占地面积19.93hm²,临时占地2.57hm²。建设内容包括滩地建设工程、水域清淤工程。其中滩地建设工程主要包括：景观工程、江心堤防冲刷工程、水域引水工程、给水排水工程等。</w:t>
      </w:r>
      <w:r>
        <w:rPr>
          <w:rFonts w:hint="eastAsia" w:ascii="Times New Roman" w:hAnsi="Times New Roman" w:eastAsia="方正仿宋_GBK"/>
          <w:color w:val="auto"/>
          <w:sz w:val="32"/>
          <w:szCs w:val="32"/>
          <w:highlight w:val="none"/>
        </w:rPr>
        <w:t>总投资为9803.88万元，其中环保投资为116万元，占总投资的1.18%。</w:t>
      </w:r>
    </w:p>
    <w:p w14:paraId="11D42B14">
      <w:pPr>
        <w:spacing w:line="560" w:lineRule="exact"/>
        <w:ind w:firstLine="640" w:firstLineChars="200"/>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4D4623EB">
      <w:pPr>
        <w:numPr>
          <w:ilvl w:val="0"/>
          <w:numId w:val="2"/>
        </w:numPr>
        <w:spacing w:line="560" w:lineRule="exact"/>
        <w:ind w:firstLine="640" w:firstLineChars="200"/>
        <w:rPr>
          <w:rFonts w:hint="eastAsia"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落实生态影响恢复措施。内陆滩涂区域选择本地内陆滩涂植被进行恢复；绿化植被禁止引入外来物种，同时对植被恢复区域加强管养；加强环境管理，禁止向水域排放污染物，保持水域水质。</w:t>
      </w:r>
    </w:p>
    <w:p w14:paraId="2432CF9A">
      <w:pPr>
        <w:numPr>
          <w:ilvl w:val="0"/>
          <w:numId w:val="2"/>
        </w:numPr>
        <w:spacing w:line="560" w:lineRule="exact"/>
        <w:ind w:firstLine="640" w:firstLineChars="200"/>
        <w:rPr>
          <w:rFonts w:hint="eastAsia" w:ascii="Times New Roman" w:hAnsi="Times New Roman" w:eastAsia="方正仿宋_GBK"/>
          <w:color w:val="auto"/>
          <w:sz w:val="32"/>
          <w:szCs w:val="32"/>
          <w:highlight w:val="none"/>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。严格执行废气治理措施</w:t>
      </w:r>
      <w:r>
        <w:rPr>
          <w:rFonts w:hint="eastAsia" w:ascii="Times New Roman" w:hAnsi="Times New Roman" w:eastAsia="方正仿宋_GBK" w:cs="Times New Roman"/>
          <w:color w:val="auto"/>
          <w:kern w:val="2"/>
          <w:sz w:val="32"/>
          <w:szCs w:val="32"/>
          <w:lang w:val="en-US" w:eastAsia="zh-CN" w:bidi="ar-SA"/>
        </w:rPr>
        <w:t>，保持项目区内环境卫生，生活垃圾及时清运。日常经营活动使用清洁能源，减少污染物排放。</w:t>
      </w:r>
    </w:p>
    <w:p w14:paraId="226B46DD">
      <w:pPr>
        <w:numPr>
          <w:ilvl w:val="0"/>
          <w:numId w:val="2"/>
        </w:numPr>
        <w:spacing w:line="560" w:lineRule="exact"/>
        <w:ind w:firstLine="640" w:firstLineChars="200"/>
        <w:rPr>
          <w:rFonts w:hint="default"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w:t>
      </w:r>
      <w:r>
        <w:rPr>
          <w:rFonts w:hint="default" w:ascii="Times New Roman" w:hAnsi="Times New Roman" w:eastAsia="方正仿宋_GBK" w:cs="Times New Roman"/>
          <w:color w:val="auto"/>
          <w:sz w:val="32"/>
          <w:szCs w:val="32"/>
        </w:rPr>
        <w:t>施工机械、车辆清洗水排入施工场地内隔油池、沉淀池进行处理后用于施工降尘。运营期生活污水经化粪池、污水一体化处理后，用于场地绿化和道路洒水，不外排</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处理后</w:t>
      </w:r>
      <w:r>
        <w:rPr>
          <w:rFonts w:hint="default" w:ascii="Times New Roman" w:hAnsi="Times New Roman" w:eastAsia="方正仿宋_GBK" w:cs="Times New Roman"/>
          <w:color w:val="auto"/>
          <w:sz w:val="32"/>
          <w:szCs w:val="32"/>
        </w:rPr>
        <w:t>水质</w:t>
      </w:r>
      <w:r>
        <w:rPr>
          <w:rFonts w:hint="eastAsia" w:ascii="Times New Roman" w:hAnsi="Times New Roman" w:eastAsia="方正仿宋_GBK" w:cs="Times New Roman"/>
          <w:color w:val="auto"/>
          <w:sz w:val="32"/>
          <w:szCs w:val="32"/>
          <w:lang w:val="en-US" w:eastAsia="zh-CN"/>
        </w:rPr>
        <w:t>须</w:t>
      </w:r>
      <w:r>
        <w:rPr>
          <w:rFonts w:hint="default" w:ascii="Times New Roman" w:hAnsi="Times New Roman" w:eastAsia="方正仿宋_GBK" w:cs="Times New Roman"/>
          <w:color w:val="auto"/>
          <w:sz w:val="32"/>
          <w:szCs w:val="32"/>
        </w:rPr>
        <w:t>达到《城市污水再生利用城市杂用水水质》</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GB/T18920-2020</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中绿化标准要求</w:t>
      </w:r>
      <w:r>
        <w:rPr>
          <w:rFonts w:hint="eastAsia" w:ascii="Times New Roman" w:hAnsi="Times New Roman" w:eastAsia="方正仿宋_GBK" w:cs="Times New Roman"/>
          <w:color w:val="auto"/>
          <w:sz w:val="32"/>
          <w:szCs w:val="32"/>
          <w:lang w:eastAsia="zh-CN"/>
        </w:rPr>
        <w:t>。加强对给排水系统管理及维护，保障污水处理设施稳定运行。</w:t>
      </w:r>
    </w:p>
    <w:p w14:paraId="0A381F30">
      <w:pPr>
        <w:pStyle w:val="3"/>
        <w:keepNext w:val="0"/>
        <w:keepLines w:val="0"/>
        <w:pageBreakBefore w:val="0"/>
        <w:widowControl/>
        <w:numPr>
          <w:ilvl w:val="0"/>
          <w:numId w:val="2"/>
        </w:numPr>
        <w:kinsoku/>
        <w:wordWrap/>
        <w:overflowPunct/>
        <w:topLinePunct w:val="0"/>
        <w:autoSpaceDE/>
        <w:autoSpaceDN/>
        <w:bidi w:val="0"/>
        <w:adjustRightInd/>
        <w:spacing w:before="0" w:after="0" w:line="560" w:lineRule="exact"/>
        <w:ind w:left="0" w:leftChars="0" w:right="118" w:firstLine="640" w:firstLineChars="200"/>
        <w:jc w:val="both"/>
        <w:textAlignment w:val="auto"/>
        <w:rPr>
          <w:rFonts w:hint="eastAsia" w:ascii="Times New Roman" w:hAnsi="Times New Roman" w:eastAsia="方正仿宋_GBK" w:cs="Times New Roman"/>
          <w:color w:val="auto"/>
          <w:kern w:val="0"/>
          <w:sz w:val="32"/>
          <w:szCs w:val="32"/>
          <w:highlight w:val="none"/>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olor w:val="auto"/>
          <w:sz w:val="32"/>
          <w:szCs w:val="32"/>
          <w:highlight w:val="none"/>
        </w:rPr>
        <w:t>施工期产生的固体废物主要为废弃土石方、建筑垃圾和施工人员产生的生活垃圾等。回填利用土石方及淤泥全部运输至景洪市绿色低碳循环发展经济产业园项目综合利用</w:t>
      </w:r>
      <w:r>
        <w:rPr>
          <w:rFonts w:hint="eastAsia" w:ascii="Times New Roman" w:hAnsi="Times New Roman" w:eastAsia="方正仿宋_GBK"/>
          <w:color w:val="auto"/>
          <w:sz w:val="32"/>
          <w:szCs w:val="32"/>
          <w:highlight w:val="none"/>
          <w:lang w:eastAsia="zh-CN"/>
        </w:rPr>
        <w:t>；建筑垃圾分类收集，能利用部分进行回收利用，不可回收部分按照相关规定要求运至指定建筑垃圾处理场处置；生活垃圾运至垃圾收集点统一处置。</w:t>
      </w:r>
      <w:r>
        <w:rPr>
          <w:rFonts w:hint="eastAsia" w:ascii="Times New Roman" w:hAnsi="Times New Roman" w:eastAsia="方正仿宋_GBK"/>
          <w:color w:val="auto"/>
          <w:sz w:val="32"/>
          <w:szCs w:val="32"/>
          <w:highlight w:val="none"/>
          <w:lang w:val="en-US" w:eastAsia="zh-CN"/>
        </w:rPr>
        <w:t>运营期</w:t>
      </w:r>
      <w:r>
        <w:rPr>
          <w:rFonts w:hint="eastAsia" w:ascii="Times New Roman" w:hAnsi="Times New Roman" w:eastAsia="方正仿宋_GBK"/>
          <w:color w:val="auto"/>
          <w:sz w:val="32"/>
          <w:szCs w:val="32"/>
          <w:highlight w:val="none"/>
          <w:lang w:eastAsia="zh-CN"/>
        </w:rPr>
        <w:t>生活垃圾委托环卫部门定期清运，固废处置率</w:t>
      </w:r>
      <w:r>
        <w:rPr>
          <w:rFonts w:hint="eastAsia" w:ascii="Times New Roman" w:hAnsi="Times New Roman" w:eastAsia="方正仿宋_GBK"/>
          <w:color w:val="auto"/>
          <w:sz w:val="32"/>
          <w:szCs w:val="32"/>
          <w:highlight w:val="none"/>
          <w:lang w:val="en-US" w:eastAsia="zh-CN"/>
        </w:rPr>
        <w:t>达到</w:t>
      </w:r>
      <w:r>
        <w:rPr>
          <w:rFonts w:hint="eastAsia" w:ascii="Times New Roman" w:hAnsi="Times New Roman" w:eastAsia="方正仿宋_GBK"/>
          <w:color w:val="auto"/>
          <w:sz w:val="32"/>
          <w:szCs w:val="32"/>
          <w:highlight w:val="none"/>
          <w:lang w:eastAsia="zh-CN"/>
        </w:rPr>
        <w:t>100%。</w:t>
      </w:r>
    </w:p>
    <w:p w14:paraId="25410BBB">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施工期采用低噪声施工设备，合理安排施工计划并采取严格，采取移动声屏障等措施；项目运营期应设置减速、禁鸣标识，减少车辆噪声排放，周边居民点声环境质量能够满足《声环境质量标准》（GB3096-2008）2类标准。</w:t>
      </w:r>
    </w:p>
    <w:p w14:paraId="0F836944">
      <w:pPr>
        <w:keepNext w:val="0"/>
        <w:keepLines w:val="0"/>
        <w:pageBreakBefore w:val="0"/>
        <w:widowControl/>
        <w:numPr>
          <w:ilvl w:val="0"/>
          <w:numId w:val="2"/>
        </w:numPr>
        <w:shd w:val="clear" w:color="auto" w:fill="FFFFFF"/>
        <w:kinsoku/>
        <w:wordWrap/>
        <w:overflowPunct/>
        <w:topLinePunct w:val="0"/>
        <w:autoSpaceDE/>
        <w:autoSpaceDN/>
        <w:bidi w:val="0"/>
        <w:adjustRightInd/>
        <w:spacing w:line="560" w:lineRule="exact"/>
        <w:ind w:left="0" w:leftChars="0"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落实土壤和地下水</w:t>
      </w:r>
      <w:r>
        <w:rPr>
          <w:rFonts w:ascii="Times New Roman" w:hAnsi="Times New Roman" w:eastAsia="方正仿宋_GBK" w:cs="Times New Roman"/>
          <w:color w:val="auto"/>
          <w:kern w:val="0"/>
          <w:sz w:val="32"/>
          <w:szCs w:val="32"/>
          <w:shd w:val="clear" w:color="auto" w:fill="FFFFFF"/>
          <w:lang w:bidi="ar"/>
        </w:rPr>
        <w:t>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固体废物产生后暂存于服务管理用房，临时暂存点应做一般防渗、防水处理，厂家及时回收处理。</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加强环境管理，防止</w:t>
      </w:r>
      <w:r>
        <w:rPr>
          <w:rFonts w:hint="eastAsia" w:ascii="Times New Roman" w:hAnsi="Times New Roman" w:eastAsia="方正仿宋_GBK" w:cs="Times New Roman"/>
          <w:color w:val="auto"/>
          <w:kern w:val="0"/>
          <w:sz w:val="32"/>
          <w:szCs w:val="32"/>
          <w:shd w:val="clear" w:color="auto" w:fill="FFFFFF"/>
          <w:lang w:bidi="ar"/>
        </w:rPr>
        <w:t>临水工程施工对地表水体产生影响</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确保</w:t>
      </w:r>
      <w:r>
        <w:rPr>
          <w:rFonts w:hint="eastAsia" w:ascii="Times New Roman" w:hAnsi="Times New Roman" w:eastAsia="方正仿宋_GBK" w:cs="Times New Roman"/>
          <w:color w:val="auto"/>
          <w:kern w:val="0"/>
          <w:sz w:val="32"/>
          <w:szCs w:val="32"/>
          <w:shd w:val="clear" w:color="auto" w:fill="FFFFFF"/>
          <w:lang w:bidi="ar"/>
        </w:rPr>
        <w:t>污水一体化处理装置</w:t>
      </w:r>
      <w:r>
        <w:rPr>
          <w:rFonts w:hint="eastAsia" w:ascii="Times New Roman" w:hAnsi="Times New Roman" w:eastAsia="方正仿宋_GBK" w:cs="Times New Roman"/>
          <w:color w:val="auto"/>
          <w:kern w:val="0"/>
          <w:sz w:val="32"/>
          <w:szCs w:val="32"/>
          <w:shd w:val="clear" w:color="auto" w:fill="FFFFFF"/>
          <w:lang w:val="en-US" w:eastAsia="zh-CN" w:bidi="ar"/>
        </w:rPr>
        <w:t>在生产过程中环境保护设施正常运行，污染防治措施得到落实，并做好相关环境管理台账记录。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厂区配备相应的消防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29E39E16">
      <w:pPr>
        <w:widowControl/>
        <w:shd w:val="clear" w:color="auto" w:fill="FFFFFF"/>
        <w:spacing w:line="600" w:lineRule="exact"/>
        <w:jc w:val="left"/>
        <w:rPr>
          <w:rFonts w:ascii="Times New Roman" w:hAnsi="Times New Roman" w:eastAsia="方正仿宋_GBK" w:cs="Times New Roman"/>
          <w:kern w:val="0"/>
          <w:sz w:val="32"/>
          <w:szCs w:val="32"/>
          <w:shd w:val="clear" w:color="auto" w:fill="FFFFFF"/>
          <w:lang w:bidi="ar"/>
        </w:rPr>
      </w:pPr>
    </w:p>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A3638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C8957D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D0597D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5C06E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4E9440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bookmarkStart w:id="0" w:name="_GoBack"/>
      <w:bookmarkEnd w:id="0"/>
    </w:p>
    <w:p w14:paraId="78166CC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CB963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4"/>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抄送：景洪市水务局，江北街道办事处，云南省环境科学学会，北京中咨华宇环保技术有限公司。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hint="default" w:ascii="方正仿宋_GBK" w:hAnsi="方正仿宋_GBK" w:eastAsia="方正仿宋_GBK" w:cs="方正仿宋_GBK"/>
                <w:snapToGrid w:val="0"/>
                <w:color w:val="000000"/>
                <w:kern w:val="0"/>
                <w:sz w:val="28"/>
                <w:szCs w:val="28"/>
                <w:lang w:val="en-US"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ascii="方正仿宋_GBK" w:hAnsi="方正仿宋_GBK" w:eastAsia="方正仿宋_GBK" w:cs="方正仿宋_GBK"/>
                <w:snapToGrid w:val="0"/>
                <w:color w:val="000000"/>
                <w:spacing w:val="-43"/>
                <w:kern w:val="0"/>
                <w:sz w:val="28"/>
                <w:szCs w:val="28"/>
                <w:lang w:eastAsia="en-US"/>
              </w:rPr>
              <w:t xml:space="preserve"> </w:t>
            </w:r>
            <w:r>
              <w:rPr>
                <w:rFonts w:hint="default" w:ascii="Times New Roman" w:hAnsi="Times New Roman" w:eastAsia="方正仿宋_GBK" w:cs="Times New Roman"/>
                <w:snapToGrid w:val="0"/>
                <w:color w:val="000000"/>
                <w:spacing w:val="-43"/>
                <w:kern w:val="0"/>
                <w:sz w:val="28"/>
                <w:szCs w:val="28"/>
                <w:lang w:val="en-US" w:eastAsia="zh-CN"/>
              </w:rPr>
              <w:t>3</w:t>
            </w:r>
            <w:r>
              <w:rPr>
                <w:rFonts w:hint="default" w:ascii="Times New Roman" w:hAnsi="Times New Roman" w:eastAsia="方正仿宋_GBK" w:cs="Times New Roman"/>
                <w:snapToGrid w:val="0"/>
                <w:color w:val="000000"/>
                <w:spacing w:val="-5"/>
                <w:kern w:val="0"/>
                <w:sz w:val="28"/>
                <w:szCs w:val="28"/>
                <w:lang w:eastAsia="en-US"/>
              </w:rPr>
              <w:t>月</w:t>
            </w:r>
            <w:r>
              <w:rPr>
                <w:rFonts w:hint="default" w:ascii="Times New Roman" w:hAnsi="Times New Roman" w:eastAsia="方正仿宋_GBK" w:cs="Times New Roman"/>
                <w:snapToGrid w:val="0"/>
                <w:color w:val="000000"/>
                <w:spacing w:val="-5"/>
                <w:kern w:val="0"/>
                <w:sz w:val="28"/>
                <w:szCs w:val="28"/>
                <w:lang w:val="en-US" w:eastAsia="zh-CN"/>
              </w:rPr>
              <w:t>3</w:t>
            </w:r>
            <w:r>
              <w:rPr>
                <w:rFonts w:hint="eastAsia" w:ascii="Times New Roman" w:hAnsi="Times New Roman" w:eastAsia="方正仿宋_GBK" w:cs="Times New Roman"/>
                <w:snapToGrid w:val="0"/>
                <w:color w:val="000000"/>
                <w:spacing w:val="-51"/>
                <w:kern w:val="0"/>
                <w:sz w:val="28"/>
                <w:szCs w:val="28"/>
                <w:lang w:val="en-US" w:eastAsia="zh-CN"/>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119089"/>
    <w:multiLevelType w:val="singleLevel"/>
    <w:tmpl w:val="E7119089"/>
    <w:lvl w:ilvl="0" w:tentative="0">
      <w:start w:val="1"/>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3C0DB1"/>
    <w:rsid w:val="06420A94"/>
    <w:rsid w:val="064E6EC7"/>
    <w:rsid w:val="06501A33"/>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D7350F"/>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543075"/>
    <w:rsid w:val="0F6B0AEA"/>
    <w:rsid w:val="0F8C280E"/>
    <w:rsid w:val="0F8E6586"/>
    <w:rsid w:val="0FA1450C"/>
    <w:rsid w:val="0FAB73E2"/>
    <w:rsid w:val="0FB75ADD"/>
    <w:rsid w:val="0FDC19E8"/>
    <w:rsid w:val="0FE16FFE"/>
    <w:rsid w:val="0FEF1E69"/>
    <w:rsid w:val="100F5919"/>
    <w:rsid w:val="10185FA1"/>
    <w:rsid w:val="10281BD6"/>
    <w:rsid w:val="1032785A"/>
    <w:rsid w:val="103709CC"/>
    <w:rsid w:val="106B4B1A"/>
    <w:rsid w:val="106B68C8"/>
    <w:rsid w:val="106C2D6C"/>
    <w:rsid w:val="10914580"/>
    <w:rsid w:val="10945E1E"/>
    <w:rsid w:val="10AF0E82"/>
    <w:rsid w:val="10BE4C49"/>
    <w:rsid w:val="10CC32FC"/>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602F03"/>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24AF2"/>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37498"/>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31F23"/>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6518C"/>
    <w:rsid w:val="214967B1"/>
    <w:rsid w:val="214C4249"/>
    <w:rsid w:val="21505D92"/>
    <w:rsid w:val="21556F04"/>
    <w:rsid w:val="21661111"/>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E822B1"/>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A5B5D"/>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8A5BB9"/>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AF63E67"/>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C2655D"/>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10CB"/>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60006"/>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C1221"/>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6B288B"/>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24A7A"/>
    <w:rsid w:val="4A556805"/>
    <w:rsid w:val="4A557492"/>
    <w:rsid w:val="4A584E4B"/>
    <w:rsid w:val="4A62250E"/>
    <w:rsid w:val="4A654922"/>
    <w:rsid w:val="4A78588E"/>
    <w:rsid w:val="4A7B4593"/>
    <w:rsid w:val="4A823FC2"/>
    <w:rsid w:val="4A897A9B"/>
    <w:rsid w:val="4A9B1D9E"/>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4538AF"/>
    <w:rsid w:val="55603AEE"/>
    <w:rsid w:val="55651104"/>
    <w:rsid w:val="557414BE"/>
    <w:rsid w:val="5576698E"/>
    <w:rsid w:val="559417C2"/>
    <w:rsid w:val="55A03EEB"/>
    <w:rsid w:val="55A76B49"/>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2E1C82"/>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3B692B"/>
    <w:rsid w:val="595219B3"/>
    <w:rsid w:val="5960230F"/>
    <w:rsid w:val="59605E6B"/>
    <w:rsid w:val="596671F9"/>
    <w:rsid w:val="596B5A93"/>
    <w:rsid w:val="596F784A"/>
    <w:rsid w:val="59B5338A"/>
    <w:rsid w:val="59C56616"/>
    <w:rsid w:val="59CE54CA"/>
    <w:rsid w:val="59D46859"/>
    <w:rsid w:val="59E44536"/>
    <w:rsid w:val="5A166E71"/>
    <w:rsid w:val="5A194435"/>
    <w:rsid w:val="5A225816"/>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CFF1E3E"/>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AF3CBE"/>
    <w:rsid w:val="5EBB1D95"/>
    <w:rsid w:val="5EBE0230"/>
    <w:rsid w:val="5EC550BA"/>
    <w:rsid w:val="5ECF75EF"/>
    <w:rsid w:val="5EE66E12"/>
    <w:rsid w:val="5F061262"/>
    <w:rsid w:val="5F117C07"/>
    <w:rsid w:val="5F231DC0"/>
    <w:rsid w:val="5F2B0CC9"/>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749AD"/>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12B6A"/>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5F0D96"/>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5B465B"/>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A2F79"/>
    <w:rsid w:val="697C2ECB"/>
    <w:rsid w:val="69913E1E"/>
    <w:rsid w:val="69995768"/>
    <w:rsid w:val="69A31044"/>
    <w:rsid w:val="69B1626F"/>
    <w:rsid w:val="69C441F4"/>
    <w:rsid w:val="69C9180A"/>
    <w:rsid w:val="69DA1173"/>
    <w:rsid w:val="69FF347E"/>
    <w:rsid w:val="6A156635"/>
    <w:rsid w:val="6A230AF1"/>
    <w:rsid w:val="6A2353BE"/>
    <w:rsid w:val="6A242EE4"/>
    <w:rsid w:val="6A3749C6"/>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7A5E73"/>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C3AEB"/>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DC4AE7"/>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CC156A"/>
    <w:rsid w:val="77D01FB6"/>
    <w:rsid w:val="77D575CC"/>
    <w:rsid w:val="77D73344"/>
    <w:rsid w:val="77DE0B76"/>
    <w:rsid w:val="77E777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E6437E"/>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B62E8"/>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614BF6"/>
    <w:rsid w:val="7E70004F"/>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qFormat/>
    <w:uiPriority w:val="0"/>
    <w:rPr>
      <w:sz w:val="21"/>
      <w:szCs w:val="21"/>
    </w:rPr>
  </w:style>
  <w:style w:type="paragraph" w:styleId="12">
    <w:name w:val="List Paragraph"/>
    <w:basedOn w:val="1"/>
    <w:qFormat/>
    <w:uiPriority w:val="99"/>
    <w:pPr>
      <w:ind w:firstLine="420" w:firstLineChars="200"/>
    </w:pPr>
  </w:style>
  <w:style w:type="paragraph" w:customStyle="1" w:styleId="13">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2282</Words>
  <Characters>2387</Characters>
  <Lines>17</Lines>
  <Paragraphs>4</Paragraphs>
  <TotalTime>2</TotalTime>
  <ScaleCrop>false</ScaleCrop>
  <LinksUpToDate>false</LinksUpToDate>
  <CharactersWithSpaces>2412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2025-03-03T06:17:57Z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825AE45A8878419FBA1A282051CA597C_13</vt:lpwstr>
  </property>
  <property fmtid="{D5CDD505-2E9C-101B-9397-08002B2CF9AE}" pid="4" name="KSOTemplateDocerSaveRecord">
    <vt:lpwstr>eyJoZGlkIjoiNDMxNDYxODVjZDJiYTYxMzBiMzRiYjE3OTI0MmM2YmUiLCJ1c2VySWQiOiI0NDMyMzEyMTEifQ==</vt:lpwstr>
  </property>
</Properties>
</file>