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B8776">
      <w:pPr>
        <w:pStyle w:val="36"/>
        <w:ind w:left="0" w:leftChars="0" w:firstLine="0" w:firstLineChars="0"/>
        <w:jc w:val="center"/>
        <w:outlineLvl w:val="9"/>
        <w:rPr>
          <w:rFonts w:hint="eastAsia" w:ascii="仿宋" w:hAnsi="仿宋" w:eastAsia="仿宋" w:cs="仿宋"/>
          <w:b/>
          <w:bCs/>
          <w:color w:val="000000" w:themeColor="text1"/>
          <w:sz w:val="52"/>
          <w:szCs w:val="52"/>
          <w:shd w:val="clear" w:color="auto" w:fill="FFFFFF"/>
          <w:lang w:eastAsia="zh-CN"/>
          <w14:textFill>
            <w14:solidFill>
              <w14:schemeClr w14:val="tx1"/>
            </w14:solidFill>
          </w14:textFill>
        </w:rPr>
      </w:pPr>
      <w:bookmarkStart w:id="509" w:name="_GoBack"/>
      <w:bookmarkEnd w:id="509"/>
      <w:r>
        <w:rPr>
          <w:rFonts w:hint="eastAsia" w:ascii="仿宋" w:hAnsi="仿宋" w:eastAsia="仿宋" w:cs="仿宋"/>
          <w:b/>
          <w:bCs/>
          <w:color w:val="000000" w:themeColor="text1"/>
          <w:sz w:val="52"/>
          <w:szCs w:val="52"/>
          <w:shd w:val="clear" w:color="auto" w:fill="FFFFFF"/>
          <w:lang w:eastAsia="zh-CN"/>
          <w14:textFill>
            <w14:solidFill>
              <w14:schemeClr w14:val="tx1"/>
            </w14:solidFill>
          </w14:textFill>
        </w:rPr>
        <w:t>国家重点生态功能区景洪市南昆河流域农村生活污水治理工程监理服务</w:t>
      </w:r>
    </w:p>
    <w:p w14:paraId="6D798181">
      <w:pPr>
        <w:pStyle w:val="36"/>
        <w:ind w:firstLine="210"/>
        <w:jc w:val="center"/>
        <w:outlineLvl w:val="9"/>
        <w:rPr>
          <w:rFonts w:hint="eastAsia" w:ascii="仿宋" w:hAnsi="仿宋" w:eastAsia="仿宋" w:cs="仿宋"/>
          <w:b/>
          <w:bCs/>
          <w:color w:val="000000" w:themeColor="text1"/>
          <w:sz w:val="56"/>
          <w:szCs w:val="56"/>
          <w:shd w:val="clear" w:color="auto" w:fill="FFFFFF"/>
          <w:lang w:eastAsia="zh-CN"/>
          <w14:textFill>
            <w14:solidFill>
              <w14:schemeClr w14:val="tx1"/>
            </w14:solidFill>
          </w14:textFill>
        </w:rPr>
      </w:pPr>
    </w:p>
    <w:p w14:paraId="1F833FE5">
      <w:pPr>
        <w:widowControl/>
        <w:spacing w:line="720" w:lineRule="auto"/>
        <w:jc w:val="center"/>
        <w:outlineLvl w:val="9"/>
        <w:rPr>
          <w:rFonts w:hint="eastAsia" w:ascii="仿宋" w:hAnsi="仿宋" w:eastAsia="仿宋" w:cs="仿宋"/>
          <w:b/>
          <w:snapToGrid/>
          <w:color w:val="000000" w:themeColor="text1"/>
          <w:kern w:val="0"/>
          <w:sz w:val="96"/>
          <w:szCs w:val="96"/>
          <w14:textFill>
            <w14:solidFill>
              <w14:schemeClr w14:val="tx1"/>
            </w14:solidFill>
          </w14:textFill>
        </w:rPr>
      </w:pPr>
    </w:p>
    <w:p w14:paraId="1F2C5BDB">
      <w:pPr>
        <w:widowControl/>
        <w:spacing w:line="720" w:lineRule="auto"/>
        <w:jc w:val="center"/>
        <w:outlineLvl w:val="9"/>
        <w:rPr>
          <w:rFonts w:hint="eastAsia" w:ascii="仿宋" w:hAnsi="仿宋" w:eastAsia="仿宋" w:cs="仿宋"/>
          <w:b/>
          <w:snapToGrid/>
          <w:color w:val="000000" w:themeColor="text1"/>
          <w:kern w:val="0"/>
          <w:sz w:val="96"/>
          <w:szCs w:val="96"/>
          <w14:textFill>
            <w14:solidFill>
              <w14:schemeClr w14:val="tx1"/>
            </w14:solidFill>
          </w14:textFill>
        </w:rPr>
      </w:pPr>
      <w:r>
        <w:rPr>
          <w:rFonts w:hint="eastAsia" w:ascii="仿宋" w:hAnsi="仿宋" w:eastAsia="仿宋" w:cs="仿宋"/>
          <w:b/>
          <w:snapToGrid/>
          <w:color w:val="000000" w:themeColor="text1"/>
          <w:kern w:val="0"/>
          <w:sz w:val="96"/>
          <w:szCs w:val="96"/>
          <w14:textFill>
            <w14:solidFill>
              <w14:schemeClr w14:val="tx1"/>
            </w14:solidFill>
          </w14:textFill>
        </w:rPr>
        <w:t>竞争性磋商文件</w:t>
      </w:r>
    </w:p>
    <w:p w14:paraId="052A8EBA">
      <w:pPr>
        <w:widowControl/>
        <w:spacing w:line="720" w:lineRule="auto"/>
        <w:jc w:val="center"/>
        <w:outlineLvl w:val="9"/>
        <w:rPr>
          <w:rFonts w:hint="eastAsia" w:ascii="仿宋" w:hAnsi="仿宋" w:eastAsia="仿宋" w:cs="仿宋"/>
          <w:b/>
          <w:snapToGrid/>
          <w:color w:val="000000" w:themeColor="text1"/>
          <w:kern w:val="0"/>
          <w:sz w:val="32"/>
          <w:szCs w:val="32"/>
          <w:lang w:eastAsia="zh-CN"/>
          <w14:textFill>
            <w14:solidFill>
              <w14:schemeClr w14:val="tx1"/>
            </w14:solidFill>
          </w14:textFill>
        </w:rPr>
      </w:pPr>
      <w:r>
        <w:rPr>
          <w:rFonts w:hint="eastAsia" w:ascii="仿宋" w:hAnsi="仿宋" w:eastAsia="仿宋" w:cs="仿宋"/>
          <w:b/>
          <w:snapToGrid/>
          <w:color w:val="000000" w:themeColor="text1"/>
          <w:kern w:val="0"/>
          <w:sz w:val="32"/>
          <w:szCs w:val="32"/>
          <w14:textFill>
            <w14:solidFill>
              <w14:schemeClr w14:val="tx1"/>
            </w14:solidFill>
          </w14:textFill>
        </w:rPr>
        <w:t>项目编号</w:t>
      </w:r>
      <w:r>
        <w:rPr>
          <w:rFonts w:hint="eastAsia" w:ascii="仿宋" w:hAnsi="仿宋" w:eastAsia="仿宋" w:cs="仿宋"/>
          <w:b/>
          <w:snapToGrid/>
          <w:color w:val="000000" w:themeColor="text1"/>
          <w:kern w:val="0"/>
          <w:sz w:val="32"/>
          <w:szCs w:val="32"/>
          <w:lang w:eastAsia="zh-CN"/>
          <w14:textFill>
            <w14:solidFill>
              <w14:schemeClr w14:val="tx1"/>
            </w14:solidFill>
          </w14:textFill>
        </w:rPr>
        <w:t>：YNZZBN202503-08</w:t>
      </w:r>
    </w:p>
    <w:p w14:paraId="2AD0C17F">
      <w:pPr>
        <w:spacing w:line="760" w:lineRule="exact"/>
        <w:jc w:val="center"/>
        <w:outlineLvl w:val="9"/>
        <w:rPr>
          <w:rFonts w:hint="eastAsia" w:ascii="仿宋" w:hAnsi="仿宋" w:eastAsia="仿宋" w:cs="仿宋"/>
          <w:bCs/>
          <w:color w:val="000000" w:themeColor="text1"/>
          <w:szCs w:val="21"/>
          <w14:textFill>
            <w14:solidFill>
              <w14:schemeClr w14:val="tx1"/>
            </w14:solidFill>
          </w14:textFill>
        </w:rPr>
      </w:pPr>
    </w:p>
    <w:p w14:paraId="29DB4B15">
      <w:pPr>
        <w:pStyle w:val="36"/>
        <w:tabs>
          <w:tab w:val="left" w:pos="3578"/>
        </w:tabs>
        <w:ind w:firstLine="0" w:firstLineChars="0"/>
        <w:outlineLvl w:val="9"/>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ab/>
      </w:r>
    </w:p>
    <w:p w14:paraId="2987CF93">
      <w:pPr>
        <w:pStyle w:val="36"/>
        <w:tabs>
          <w:tab w:val="left" w:pos="3578"/>
        </w:tabs>
        <w:ind w:firstLine="0" w:firstLineChars="0"/>
        <w:outlineLvl w:val="9"/>
        <w:rPr>
          <w:rFonts w:hint="eastAsia" w:ascii="仿宋" w:hAnsi="仿宋" w:eastAsia="仿宋" w:cs="仿宋"/>
          <w:color w:val="000000" w:themeColor="text1"/>
          <w14:textFill>
            <w14:solidFill>
              <w14:schemeClr w14:val="tx1"/>
            </w14:solidFill>
          </w14:textFill>
        </w:rPr>
      </w:pPr>
    </w:p>
    <w:p w14:paraId="3FC99687">
      <w:pPr>
        <w:pStyle w:val="36"/>
        <w:tabs>
          <w:tab w:val="left" w:pos="3578"/>
        </w:tabs>
        <w:ind w:firstLine="0" w:firstLineChars="0"/>
        <w:outlineLvl w:val="9"/>
        <w:rPr>
          <w:rFonts w:hint="eastAsia" w:ascii="仿宋" w:hAnsi="仿宋" w:eastAsia="仿宋" w:cs="仿宋"/>
          <w:color w:val="000000" w:themeColor="text1"/>
          <w14:textFill>
            <w14:solidFill>
              <w14:schemeClr w14:val="tx1"/>
            </w14:solidFill>
          </w14:textFill>
        </w:rPr>
      </w:pPr>
    </w:p>
    <w:p w14:paraId="181ACE73">
      <w:pPr>
        <w:pStyle w:val="36"/>
        <w:tabs>
          <w:tab w:val="left" w:pos="3578"/>
        </w:tabs>
        <w:ind w:firstLine="0" w:firstLineChars="0"/>
        <w:outlineLvl w:val="9"/>
        <w:rPr>
          <w:rFonts w:hint="eastAsia" w:ascii="仿宋" w:hAnsi="仿宋" w:eastAsia="仿宋" w:cs="仿宋"/>
          <w:color w:val="000000" w:themeColor="text1"/>
          <w14:textFill>
            <w14:solidFill>
              <w14:schemeClr w14:val="tx1"/>
            </w14:solidFill>
          </w14:textFill>
        </w:rPr>
      </w:pPr>
    </w:p>
    <w:p w14:paraId="4FC676AD">
      <w:pPr>
        <w:pStyle w:val="36"/>
        <w:tabs>
          <w:tab w:val="left" w:pos="3578"/>
        </w:tabs>
        <w:ind w:firstLine="0" w:firstLineChars="0"/>
        <w:outlineLvl w:val="9"/>
        <w:rPr>
          <w:rFonts w:hint="eastAsia" w:ascii="仿宋" w:hAnsi="仿宋" w:eastAsia="仿宋" w:cs="仿宋"/>
          <w:color w:val="000000" w:themeColor="text1"/>
          <w14:textFill>
            <w14:solidFill>
              <w14:schemeClr w14:val="tx1"/>
            </w14:solidFill>
          </w14:textFill>
        </w:rPr>
      </w:pPr>
    </w:p>
    <w:p w14:paraId="38FE1F6E">
      <w:pPr>
        <w:pStyle w:val="36"/>
        <w:ind w:firstLine="0" w:firstLineChars="0"/>
        <w:outlineLvl w:val="9"/>
        <w:rPr>
          <w:rFonts w:hint="eastAsia" w:ascii="仿宋" w:hAnsi="仿宋" w:eastAsia="仿宋" w:cs="仿宋"/>
          <w:color w:val="000000" w:themeColor="text1"/>
          <w14:textFill>
            <w14:solidFill>
              <w14:schemeClr w14:val="tx1"/>
            </w14:solidFill>
          </w14:textFill>
        </w:rPr>
      </w:pPr>
    </w:p>
    <w:p w14:paraId="770D0B00">
      <w:pPr>
        <w:pStyle w:val="36"/>
        <w:ind w:firstLine="210"/>
        <w:outlineLvl w:val="9"/>
        <w:rPr>
          <w:rFonts w:hint="eastAsia" w:ascii="仿宋" w:hAnsi="仿宋" w:eastAsia="仿宋" w:cs="仿宋"/>
          <w:color w:val="000000" w:themeColor="text1"/>
          <w14:textFill>
            <w14:solidFill>
              <w14:schemeClr w14:val="tx1"/>
            </w14:solidFill>
          </w14:textFill>
        </w:rPr>
      </w:pPr>
    </w:p>
    <w:p w14:paraId="4D584E0B">
      <w:pPr>
        <w:spacing w:after="240" w:line="360" w:lineRule="auto"/>
        <w:ind w:firstLine="1259" w:firstLineChars="392"/>
        <w:outlineLvl w:val="9"/>
        <w:rPr>
          <w:rFonts w:hint="eastAsia" w:ascii="仿宋" w:hAnsi="仿宋" w:eastAsia="仿宋" w:cs="仿宋"/>
          <w:b/>
          <w:bCs/>
          <w:color w:val="000000" w:themeColor="text1"/>
          <w:sz w:val="32"/>
          <w:szCs w:val="32"/>
          <w14:textFill>
            <w14:solidFill>
              <w14:schemeClr w14:val="tx1"/>
            </w14:solidFill>
          </w14:textFill>
        </w:rPr>
      </w:pPr>
    </w:p>
    <w:p w14:paraId="472890F4">
      <w:pPr>
        <w:spacing w:after="240" w:line="360" w:lineRule="auto"/>
        <w:ind w:firstLine="1259" w:firstLineChars="392"/>
        <w:outlineLvl w:val="9"/>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采 购 人：</w:t>
      </w:r>
      <w:r>
        <w:rPr>
          <w:rFonts w:hint="eastAsia" w:ascii="仿宋" w:hAnsi="仿宋" w:eastAsia="仿宋" w:cs="仿宋"/>
          <w:b/>
          <w:bCs/>
          <w:color w:val="000000" w:themeColor="text1"/>
          <w:sz w:val="32"/>
          <w:szCs w:val="32"/>
          <w:u w:val="single"/>
          <w:lang w:eastAsia="zh-CN"/>
          <w14:textFill>
            <w14:solidFill>
              <w14:schemeClr w14:val="tx1"/>
            </w14:solidFill>
          </w14:textFill>
        </w:rPr>
        <w:t>西双版纳傣族自治州生态环境局景洪分局</w:t>
      </w:r>
    </w:p>
    <w:p w14:paraId="7AECA75E">
      <w:pPr>
        <w:spacing w:after="240" w:line="360" w:lineRule="auto"/>
        <w:ind w:firstLine="1285" w:firstLineChars="400"/>
        <w:outlineLvl w:val="9"/>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代理机构：</w:t>
      </w:r>
      <w:r>
        <w:rPr>
          <w:rFonts w:hint="eastAsia" w:ascii="仿宋" w:hAnsi="仿宋" w:eastAsia="仿宋" w:cs="仿宋"/>
          <w:b/>
          <w:bCs/>
          <w:color w:val="000000" w:themeColor="text1"/>
          <w:sz w:val="32"/>
          <w:szCs w:val="32"/>
          <w:u w:val="single"/>
          <w:lang w:eastAsia="zh-CN"/>
          <w14:textFill>
            <w14:solidFill>
              <w14:schemeClr w14:val="tx1"/>
            </w14:solidFill>
          </w14:textFill>
        </w:rPr>
        <w:t>云南中招招标有限公司</w:t>
      </w:r>
    </w:p>
    <w:p w14:paraId="252E36D2">
      <w:pPr>
        <w:spacing w:after="240" w:line="360" w:lineRule="auto"/>
        <w:ind w:firstLine="1388" w:firstLineChars="432"/>
        <w:outlineLvl w:val="9"/>
        <w:rPr>
          <w:rFonts w:hint="eastAsia" w:ascii="仿宋" w:hAnsi="仿宋" w:eastAsia="仿宋" w:cs="仿宋"/>
          <w:b/>
          <w:bCs/>
          <w:color w:val="000000" w:themeColor="text1"/>
          <w:sz w:val="32"/>
          <w:szCs w:val="32"/>
          <w14:textFill>
            <w14:solidFill>
              <w14:schemeClr w14:val="tx1"/>
            </w14:solidFill>
          </w14:textFill>
        </w:rPr>
        <w:sectPr>
          <w:headerReference r:id="rId3" w:type="default"/>
          <w:footerReference r:id="rId4" w:type="default"/>
          <w:pgSz w:w="11906" w:h="16838"/>
          <w:pgMar w:top="1440" w:right="1080" w:bottom="1440" w:left="1080" w:header="851" w:footer="992" w:gutter="0"/>
          <w:cols w:space="720" w:num="1"/>
          <w:docGrid w:type="lines" w:linePitch="312" w:charSpace="0"/>
        </w:sectPr>
      </w:pPr>
      <w:r>
        <w:rPr>
          <w:rFonts w:hint="eastAsia" w:ascii="仿宋" w:hAnsi="仿宋" w:eastAsia="仿宋" w:cs="仿宋"/>
          <w:b/>
          <w:bCs/>
          <w:color w:val="000000" w:themeColor="text1"/>
          <w:sz w:val="32"/>
          <w:szCs w:val="32"/>
          <w14:textFill>
            <w14:solidFill>
              <w14:schemeClr w14:val="tx1"/>
            </w14:solidFill>
          </w14:textFill>
        </w:rPr>
        <w:t xml:space="preserve">日    </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14:textFill>
            <w14:solidFill>
              <w14:schemeClr w14:val="tx1"/>
            </w14:solidFill>
          </w14:textFill>
        </w:rPr>
        <w:t>期：</w:t>
      </w:r>
      <w:r>
        <w:rPr>
          <w:rFonts w:hint="eastAsia" w:ascii="仿宋" w:hAnsi="仿宋" w:eastAsia="仿宋" w:cs="仿宋"/>
          <w:b/>
          <w:bCs/>
          <w:color w:val="000000" w:themeColor="text1"/>
          <w:sz w:val="32"/>
          <w:szCs w:val="32"/>
          <w:u w:val="single"/>
          <w:lang w:eastAsia="zh-CN"/>
          <w14:textFill>
            <w14:solidFill>
              <w14:schemeClr w14:val="tx1"/>
            </w14:solidFill>
          </w14:textFill>
        </w:rPr>
        <w:t>二〇二五</w:t>
      </w:r>
      <w:r>
        <w:rPr>
          <w:rFonts w:hint="eastAsia" w:ascii="仿宋" w:hAnsi="仿宋" w:eastAsia="仿宋" w:cs="仿宋"/>
          <w:b/>
          <w:bCs/>
          <w:color w:val="000000" w:themeColor="text1"/>
          <w:sz w:val="32"/>
          <w:szCs w:val="32"/>
          <w:u w:val="single"/>
          <w14:textFill>
            <w14:solidFill>
              <w14:schemeClr w14:val="tx1"/>
            </w14:solidFill>
          </w14:textFill>
        </w:rPr>
        <w:t>年</w:t>
      </w:r>
      <w:r>
        <w:rPr>
          <w:rFonts w:hint="eastAsia" w:ascii="仿宋" w:hAnsi="仿宋" w:eastAsia="仿宋" w:cs="仿宋"/>
          <w:b/>
          <w:bCs/>
          <w:color w:val="000000" w:themeColor="text1"/>
          <w:sz w:val="32"/>
          <w:szCs w:val="32"/>
          <w:u w:val="single"/>
          <w:lang w:eastAsia="zh-CN"/>
          <w14:textFill>
            <w14:solidFill>
              <w14:schemeClr w14:val="tx1"/>
            </w14:solidFill>
          </w14:textFill>
        </w:rPr>
        <w:t>三</w:t>
      </w:r>
      <w:r>
        <w:rPr>
          <w:rFonts w:hint="eastAsia" w:ascii="仿宋" w:hAnsi="仿宋" w:eastAsia="仿宋" w:cs="仿宋"/>
          <w:b/>
          <w:bCs/>
          <w:color w:val="000000" w:themeColor="text1"/>
          <w:sz w:val="32"/>
          <w:szCs w:val="32"/>
          <w:u w:val="single"/>
          <w14:textFill>
            <w14:solidFill>
              <w14:schemeClr w14:val="tx1"/>
            </w14:solidFill>
          </w14:textFill>
        </w:rPr>
        <w:t>月</w:t>
      </w:r>
    </w:p>
    <w:tbl>
      <w:tblPr>
        <w:tblStyle w:val="37"/>
        <w:tblW w:w="98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0"/>
        <w:gridCol w:w="7551"/>
        <w:gridCol w:w="984"/>
        <w:gridCol w:w="595"/>
      </w:tblGrid>
      <w:tr w14:paraId="52E83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9840" w:type="dxa"/>
            <w:gridSpan w:val="4"/>
            <w:tcBorders>
              <w:top w:val="nil"/>
              <w:left w:val="nil"/>
              <w:bottom w:val="nil"/>
              <w:right w:val="nil"/>
            </w:tcBorders>
            <w:noWrap/>
            <w:vAlign w:val="center"/>
          </w:tcPr>
          <w:p w14:paraId="71AF587C">
            <w:pPr>
              <w:pStyle w:val="156"/>
              <w:keepNext/>
              <w:keepLines/>
              <w:pageBreakBefore w:val="0"/>
              <w:widowControl/>
              <w:kinsoku/>
              <w:wordWrap/>
              <w:overflowPunct/>
              <w:topLinePunct w:val="0"/>
              <w:autoSpaceDE/>
              <w:autoSpaceDN/>
              <w:bidi w:val="0"/>
              <w:adjustRightInd/>
              <w:snapToGrid/>
              <w:spacing w:before="0"/>
              <w:jc w:val="center"/>
              <w:textAlignment w:val="auto"/>
              <w:rPr>
                <w:rFonts w:hint="eastAsia" w:ascii="仿宋" w:hAnsi="仿宋" w:eastAsia="仿宋" w:cs="仿宋"/>
                <w:i w:val="0"/>
                <w:iCs w:val="0"/>
                <w:color w:val="000000"/>
                <w:sz w:val="40"/>
                <w:szCs w:val="40"/>
                <w:highlight w:val="none"/>
                <w:u w:val="none"/>
              </w:rPr>
            </w:pPr>
            <w:r>
              <w:rPr>
                <w:rFonts w:hint="eastAsia" w:ascii="仿宋" w:hAnsi="仿宋" w:eastAsia="仿宋" w:cs="仿宋"/>
                <w:i w:val="0"/>
                <w:iCs w:val="0"/>
                <w:snapToGrid w:val="0"/>
                <w:color w:val="000000"/>
                <w:kern w:val="0"/>
                <w:sz w:val="40"/>
                <w:szCs w:val="40"/>
                <w:highlight w:val="none"/>
                <w:u w:val="none"/>
                <w:lang w:val="zh-CN" w:eastAsia="zh-CN" w:bidi="ar"/>
              </w:rPr>
              <w:t>竞争性磋商</w:t>
            </w:r>
            <w:r>
              <w:rPr>
                <w:rFonts w:hint="eastAsia" w:ascii="仿宋" w:hAnsi="仿宋" w:eastAsia="仿宋" w:cs="仿宋"/>
                <w:i w:val="0"/>
                <w:iCs w:val="0"/>
                <w:snapToGrid w:val="0"/>
                <w:color w:val="000000"/>
                <w:kern w:val="0"/>
                <w:sz w:val="40"/>
                <w:szCs w:val="40"/>
                <w:highlight w:val="none"/>
                <w:u w:val="none"/>
                <w:lang w:val="en-US" w:eastAsia="zh-CN" w:bidi="ar"/>
              </w:rPr>
              <w:t>文件公平竞争审查表</w:t>
            </w:r>
          </w:p>
        </w:tc>
      </w:tr>
      <w:tr w14:paraId="51B18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9840" w:type="dxa"/>
            <w:gridSpan w:val="4"/>
            <w:tcBorders>
              <w:top w:val="nil"/>
              <w:left w:val="nil"/>
              <w:bottom w:val="nil"/>
              <w:right w:val="nil"/>
            </w:tcBorders>
            <w:noWrap/>
            <w:vAlign w:val="center"/>
          </w:tcPr>
          <w:p w14:paraId="1EBB1502">
            <w:pPr>
              <w:keepNext w:val="0"/>
              <w:keepLines w:val="0"/>
              <w:pageBreakBefore w:val="0"/>
              <w:widowControl/>
              <w:suppressLineNumbers w:val="0"/>
              <w:kinsoku w:val="0"/>
              <w:wordWrap/>
              <w:overflowPunct/>
              <w:topLinePunct w:val="0"/>
              <w:autoSpaceDE w:val="0"/>
              <w:autoSpaceDN w:val="0"/>
              <w:bidi w:val="0"/>
              <w:adjustRightInd w:val="0"/>
              <w:snapToGrid w:val="0"/>
              <w:spacing w:line="400" w:lineRule="exact"/>
              <w:jc w:val="left"/>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项目名称：国家重点生态功能区景洪市南昆河流域农村生活污水治理工程监理服务</w:t>
            </w:r>
          </w:p>
        </w:tc>
      </w:tr>
      <w:tr w14:paraId="7A6A8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jc w:val="center"/>
        </w:trPr>
        <w:tc>
          <w:tcPr>
            <w:tcW w:w="710" w:type="dxa"/>
            <w:tcBorders>
              <w:top w:val="single" w:color="000000" w:sz="4" w:space="0"/>
              <w:left w:val="single" w:color="000000" w:sz="4" w:space="0"/>
              <w:bottom w:val="single" w:color="000000" w:sz="4" w:space="0"/>
              <w:right w:val="single" w:color="000000" w:sz="4" w:space="0"/>
            </w:tcBorders>
            <w:noWrap w:val="0"/>
            <w:vAlign w:val="center"/>
          </w:tcPr>
          <w:p w14:paraId="19A3FE57">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snapToGrid w:val="0"/>
                <w:color w:val="000000"/>
                <w:kern w:val="0"/>
                <w:sz w:val="23"/>
                <w:szCs w:val="23"/>
                <w:highlight w:val="none"/>
                <w:u w:val="none"/>
                <w:lang w:val="en-US" w:eastAsia="zh-CN" w:bidi="ar"/>
              </w:rPr>
            </w:pPr>
            <w:r>
              <w:rPr>
                <w:rFonts w:hint="eastAsia" w:ascii="仿宋" w:hAnsi="仿宋" w:eastAsia="仿宋" w:cs="仿宋"/>
                <w:i w:val="0"/>
                <w:iCs w:val="0"/>
                <w:snapToGrid w:val="0"/>
                <w:color w:val="000000"/>
                <w:kern w:val="0"/>
                <w:sz w:val="23"/>
                <w:szCs w:val="23"/>
                <w:highlight w:val="none"/>
                <w:u w:val="none"/>
                <w:lang w:val="en-US" w:eastAsia="zh-CN" w:bidi="ar"/>
              </w:rPr>
              <w:t>审查项</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5B893EA0">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审查内容</w:t>
            </w:r>
          </w:p>
        </w:tc>
        <w:tc>
          <w:tcPr>
            <w:tcW w:w="984" w:type="dxa"/>
            <w:tcBorders>
              <w:top w:val="single" w:color="000000" w:sz="4" w:space="0"/>
              <w:left w:val="single" w:color="000000" w:sz="4" w:space="0"/>
              <w:bottom w:val="nil"/>
              <w:right w:val="single" w:color="000000" w:sz="4" w:space="0"/>
            </w:tcBorders>
            <w:noWrap w:val="0"/>
            <w:vAlign w:val="center"/>
          </w:tcPr>
          <w:p w14:paraId="5F935B4B">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审查结果</w:t>
            </w:r>
          </w:p>
        </w:tc>
        <w:tc>
          <w:tcPr>
            <w:tcW w:w="595" w:type="dxa"/>
            <w:tcBorders>
              <w:top w:val="single" w:color="000000" w:sz="4" w:space="0"/>
              <w:left w:val="single" w:color="000000" w:sz="4" w:space="0"/>
              <w:bottom w:val="single" w:color="000000" w:sz="4" w:space="0"/>
              <w:right w:val="single" w:color="000000" w:sz="4" w:space="0"/>
            </w:tcBorders>
            <w:noWrap w:val="0"/>
            <w:vAlign w:val="center"/>
          </w:tcPr>
          <w:p w14:paraId="70D730C6">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备注</w:t>
            </w:r>
          </w:p>
        </w:tc>
      </w:tr>
      <w:tr w14:paraId="4AE56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330F2DDF">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snapToGrid w:val="0"/>
                <w:color w:val="000000"/>
                <w:kern w:val="0"/>
                <w:sz w:val="23"/>
                <w:szCs w:val="23"/>
                <w:highlight w:val="none"/>
                <w:u w:val="none"/>
                <w:lang w:val="en-US" w:eastAsia="zh-CN" w:bidi="ar"/>
              </w:rPr>
            </w:pPr>
            <w:r>
              <w:rPr>
                <w:rFonts w:hint="eastAsia" w:ascii="仿宋" w:hAnsi="仿宋" w:eastAsia="仿宋" w:cs="仿宋"/>
                <w:i w:val="0"/>
                <w:iCs w:val="0"/>
                <w:snapToGrid w:val="0"/>
                <w:color w:val="000000"/>
                <w:kern w:val="0"/>
                <w:sz w:val="23"/>
                <w:szCs w:val="23"/>
                <w:highlight w:val="none"/>
                <w:u w:val="none"/>
                <w:lang w:val="en-US" w:eastAsia="zh-CN" w:bidi="ar"/>
              </w:rPr>
              <w:t>1</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1458269C">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snapToGrid w:val="0"/>
                <w:color w:val="000000"/>
                <w:kern w:val="0"/>
                <w:sz w:val="23"/>
                <w:szCs w:val="23"/>
                <w:highlight w:val="none"/>
                <w:u w:val="none"/>
                <w:lang w:val="en-US" w:eastAsia="zh-CN" w:bidi="ar"/>
              </w:rPr>
            </w:pPr>
            <w:r>
              <w:rPr>
                <w:rFonts w:hint="eastAsia" w:ascii="仿宋" w:hAnsi="仿宋" w:eastAsia="仿宋" w:cs="仿宋"/>
                <w:i w:val="0"/>
                <w:iCs w:val="0"/>
                <w:snapToGrid w:val="0"/>
                <w:color w:val="000000"/>
                <w:kern w:val="0"/>
                <w:sz w:val="23"/>
                <w:szCs w:val="23"/>
                <w:highlight w:val="none"/>
                <w:u w:val="none"/>
                <w:lang w:val="en-US" w:eastAsia="zh-CN" w:bidi="ar"/>
              </w:rPr>
              <w:t>是否违法限定潜在供应商或者供应商的所有制形式或者组织形式，对不同所有制供应商采取不同的资格审查标准。</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61BAC24A">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402F2FFF">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65D01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08A7666C">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snapToGrid w:val="0"/>
                <w:color w:val="000000"/>
                <w:kern w:val="0"/>
                <w:sz w:val="23"/>
                <w:szCs w:val="23"/>
                <w:highlight w:val="none"/>
                <w:u w:val="none"/>
                <w:lang w:val="en-US" w:eastAsia="zh-CN" w:bidi="ar"/>
              </w:rPr>
            </w:pPr>
            <w:r>
              <w:rPr>
                <w:rFonts w:hint="eastAsia" w:ascii="仿宋" w:hAnsi="仿宋" w:eastAsia="仿宋" w:cs="仿宋"/>
                <w:i w:val="0"/>
                <w:iCs w:val="0"/>
                <w:snapToGrid w:val="0"/>
                <w:color w:val="000000"/>
                <w:kern w:val="0"/>
                <w:sz w:val="23"/>
                <w:szCs w:val="23"/>
                <w:highlight w:val="none"/>
                <w:u w:val="none"/>
                <w:lang w:val="en-US" w:eastAsia="zh-CN" w:bidi="ar"/>
              </w:rPr>
              <w:t>2</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3F95E929">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snapToGrid w:val="0"/>
                <w:color w:val="000000"/>
                <w:kern w:val="0"/>
                <w:sz w:val="23"/>
                <w:szCs w:val="23"/>
                <w:highlight w:val="none"/>
                <w:u w:val="none"/>
                <w:lang w:val="en-US" w:eastAsia="zh-CN" w:bidi="ar"/>
              </w:rPr>
            </w:pPr>
            <w:r>
              <w:rPr>
                <w:rFonts w:hint="eastAsia" w:ascii="仿宋" w:hAnsi="仿宋" w:eastAsia="仿宋" w:cs="仿宋"/>
                <w:i w:val="0"/>
                <w:iCs w:val="0"/>
                <w:snapToGrid w:val="0"/>
                <w:color w:val="000000"/>
                <w:kern w:val="0"/>
                <w:sz w:val="23"/>
                <w:szCs w:val="23"/>
                <w:highlight w:val="none"/>
                <w:u w:val="none"/>
                <w:lang w:val="en-US" w:eastAsia="zh-CN" w:bidi="ar"/>
              </w:rPr>
              <w:t>是否设定企业股东背景、年平均承接项目数量或者金额、从业人员、纳税额、营业场所面积等规模条件；设置超过项目实际需要的企业注册资本、资产总额、净资产规模、营业收入、利润、授信额度等财务指标。</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1ACA63A4">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0A37DC2A">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69BB5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59D0C439">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3</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692A4C39">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是否设定明显超出招标项目具体特点和实际需要的过高的资质资格、技术、商务条件或者业绩、奖项要求。</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57790003">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084C8299">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05998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63654541">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4</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5B60FF63">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是否将国家已经明令取消的资质资格作为投标条件、加分条件、中标条件；在国家已经明令取消资质资格的领域，将其他资质资格作为投标条件、加分条件、中标条件。</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0E4C4CDF">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1EAA32A9">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47807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9"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4554F52E">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5</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38302045">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是否将特定行政区域、特定行业的业绩、奖项作为投标条件、加分条件、中标条件；将政府部门、行业协 会商会或者其他机构对供应商作出的荣誉奖励和慈善公益证明等作为投标条件、中标条件。</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5DC317AB">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0446F134">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496C1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2C141555">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6</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15C37945">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是否限定或者指定特定的专利、商标、品牌、原产地、供应商或者检验检测认证机构( 法律法规有明确要求的除外)。</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63F43F2D">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19DE945C">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7C010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568C7593">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7</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738D9A92">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是否要求供应商在本地注册设立子公司、分公司、分支机构，在本地拥有一定办公面积，在本地缴纳社会保险等。</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60EF4D1E">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0B24BCDC">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6667B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1613C418">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8</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6072AD20">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both"/>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是否对仅需提供有关资质证明文件、证照、证件复印件的，要求必须提供原件；对按规定可以采用“多证合一”电子证照的，要求必须提供纸质证照。</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51F1D664">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7A4AEC29">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42900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523CAFA7">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9</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6B1F390F">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是否通过划分企业等级、增设证明事项、设立项目库、注册、认证、认定等非必要条件排除和限制潜在供应商。</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32A02322">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1E69D773">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1F55A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7ACCE74F">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10</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74445703">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是否在开标环节要求供应商的法定代表人必须到场，不接受经授权委托的供应商代表到场。</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3C207104">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0AC0ECBF">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482A8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45A4F3BA">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11</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303E45B1">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是否限定投标保证金、履约保证金只能以现金形式提交。</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404BB09B">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1261B4AC">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06D1C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34F36D3B">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12</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4EA675EF">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是否简单以注册人员、业绩数量等规模条件或者特定行政区域的业绩奖项评价企业的信用等级，或者设置对不同所有制企业构成歧视的信用评价指标。</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3C72FB34">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49FDFE33">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3A593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72A68970">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13</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01D3EC29">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是否违法设置限制、排斥不同所有制企业参与招投标的规定，以及虽然没有直接限制、排斥，但实质上起到变相限制、排斥效果的规定。</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1323C0AA">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15A00088">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49EE4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39D466A2">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14</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11458F9A">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是否存在以不合理的条件限制或者排斥潜在供应商，对潜在供应商实行歧视待遇的情形。</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080D287A">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2E8666F2">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339EB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jc w:val="center"/>
        </w:trPr>
        <w:tc>
          <w:tcPr>
            <w:tcW w:w="710" w:type="dxa"/>
            <w:tcBorders>
              <w:top w:val="single" w:color="000000" w:sz="4" w:space="0"/>
              <w:left w:val="single" w:color="000000" w:sz="4" w:space="0"/>
              <w:bottom w:val="single" w:color="000000" w:sz="4" w:space="0"/>
              <w:right w:val="single" w:color="000000" w:sz="4" w:space="0"/>
            </w:tcBorders>
            <w:noWrap/>
            <w:vAlign w:val="center"/>
          </w:tcPr>
          <w:p w14:paraId="670D69E0">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snapToGrid w:val="0"/>
                <w:color w:val="000000"/>
                <w:kern w:val="0"/>
                <w:sz w:val="24"/>
                <w:szCs w:val="24"/>
                <w:highlight w:val="none"/>
                <w:u w:val="none"/>
                <w:lang w:val="en-US" w:eastAsia="zh-CN" w:bidi="ar"/>
              </w:rPr>
              <w:t>15</w:t>
            </w:r>
          </w:p>
        </w:tc>
        <w:tc>
          <w:tcPr>
            <w:tcW w:w="7551" w:type="dxa"/>
            <w:tcBorders>
              <w:top w:val="single" w:color="000000" w:sz="4" w:space="0"/>
              <w:left w:val="single" w:color="000000" w:sz="4" w:space="0"/>
              <w:bottom w:val="single" w:color="000000" w:sz="4" w:space="0"/>
              <w:right w:val="single" w:color="000000" w:sz="4" w:space="0"/>
            </w:tcBorders>
            <w:noWrap w:val="0"/>
            <w:vAlign w:val="center"/>
          </w:tcPr>
          <w:p w14:paraId="3FE800B4">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3"/>
                <w:szCs w:val="23"/>
                <w:highlight w:val="none"/>
                <w:u w:val="none"/>
              </w:rPr>
            </w:pPr>
            <w:r>
              <w:rPr>
                <w:rFonts w:hint="eastAsia" w:ascii="仿宋" w:hAnsi="仿宋" w:eastAsia="仿宋" w:cs="仿宋"/>
                <w:i w:val="0"/>
                <w:iCs w:val="0"/>
                <w:snapToGrid w:val="0"/>
                <w:color w:val="000000"/>
                <w:kern w:val="0"/>
                <w:sz w:val="23"/>
                <w:szCs w:val="23"/>
                <w:highlight w:val="none"/>
                <w:u w:val="none"/>
                <w:lang w:val="en-US" w:eastAsia="zh-CN" w:bidi="ar"/>
              </w:rPr>
              <w:t>是否强制供应商组成联合体共同投标，限制供应商之间的竞争。</w:t>
            </w:r>
          </w:p>
        </w:tc>
        <w:tc>
          <w:tcPr>
            <w:tcW w:w="984" w:type="dxa"/>
            <w:tcBorders>
              <w:top w:val="single" w:color="000000" w:sz="4" w:space="0"/>
              <w:left w:val="single" w:color="000000" w:sz="4" w:space="0"/>
              <w:bottom w:val="single" w:color="000000" w:sz="4" w:space="0"/>
              <w:right w:val="single" w:color="000000" w:sz="4" w:space="0"/>
            </w:tcBorders>
            <w:noWrap w:val="0"/>
            <w:vAlign w:val="center"/>
          </w:tcPr>
          <w:p w14:paraId="27E0CE62">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否</w:t>
            </w:r>
          </w:p>
        </w:tc>
        <w:tc>
          <w:tcPr>
            <w:tcW w:w="595" w:type="dxa"/>
            <w:tcBorders>
              <w:top w:val="single" w:color="000000" w:sz="4" w:space="0"/>
              <w:left w:val="single" w:color="000000" w:sz="4" w:space="0"/>
              <w:bottom w:val="single" w:color="000000" w:sz="4" w:space="0"/>
              <w:right w:val="single" w:color="000000" w:sz="4" w:space="0"/>
            </w:tcBorders>
            <w:noWrap/>
            <w:vAlign w:val="center"/>
          </w:tcPr>
          <w:p w14:paraId="64EBEBFE">
            <w:pPr>
              <w:keepNext w:val="0"/>
              <w:keepLines w:val="0"/>
              <w:pageBreakBefore w:val="0"/>
              <w:widowControl/>
              <w:kinsoku w:val="0"/>
              <w:wordWrap/>
              <w:overflowPunct/>
              <w:topLinePunct w:val="0"/>
              <w:autoSpaceDE w:val="0"/>
              <w:autoSpaceDN w:val="0"/>
              <w:bidi w:val="0"/>
              <w:adjustRightInd w:val="0"/>
              <w:snapToGrid w:val="0"/>
              <w:spacing w:line="300" w:lineRule="exact"/>
              <w:rPr>
                <w:rFonts w:hint="eastAsia" w:ascii="仿宋" w:hAnsi="仿宋" w:eastAsia="仿宋" w:cs="仿宋"/>
                <w:i w:val="0"/>
                <w:iCs w:val="0"/>
                <w:color w:val="000000"/>
                <w:sz w:val="22"/>
                <w:szCs w:val="22"/>
                <w:highlight w:val="none"/>
                <w:u w:val="none"/>
              </w:rPr>
            </w:pPr>
          </w:p>
        </w:tc>
      </w:tr>
      <w:tr w14:paraId="64A45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9840" w:type="dxa"/>
            <w:gridSpan w:val="4"/>
            <w:tcBorders>
              <w:top w:val="single" w:color="000000" w:sz="4" w:space="0"/>
              <w:left w:val="single" w:color="000000" w:sz="4" w:space="0"/>
              <w:bottom w:val="nil"/>
              <w:right w:val="single" w:color="000000" w:sz="4" w:space="0"/>
            </w:tcBorders>
            <w:noWrap w:val="0"/>
            <w:vAlign w:val="center"/>
          </w:tcPr>
          <w:p w14:paraId="2808D332">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center"/>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我承诺，上述填写内容真实有效。</w:t>
            </w:r>
          </w:p>
        </w:tc>
      </w:tr>
      <w:tr w14:paraId="1501D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9" w:hRule="atLeast"/>
          <w:jc w:val="center"/>
        </w:trPr>
        <w:tc>
          <w:tcPr>
            <w:tcW w:w="9840" w:type="dxa"/>
            <w:gridSpan w:val="4"/>
            <w:tcBorders>
              <w:top w:val="nil"/>
              <w:left w:val="single" w:color="000000" w:sz="4" w:space="0"/>
              <w:bottom w:val="single" w:color="000000" w:sz="4" w:space="0"/>
              <w:right w:val="single" w:color="000000" w:sz="4" w:space="0"/>
            </w:tcBorders>
            <w:noWrap/>
            <w:vAlign w:val="center"/>
          </w:tcPr>
          <w:p w14:paraId="00638230">
            <w:pPr>
              <w:keepNext w:val="0"/>
              <w:keepLines w:val="0"/>
              <w:pageBreakBefore w:val="0"/>
              <w:widowControl/>
              <w:suppressLineNumbers w:val="0"/>
              <w:kinsoku w:val="0"/>
              <w:wordWrap/>
              <w:overflowPunct/>
              <w:topLinePunct w:val="0"/>
              <w:autoSpaceDE w:val="0"/>
              <w:autoSpaceDN w:val="0"/>
              <w:bidi w:val="0"/>
              <w:adjustRightInd w:val="0"/>
              <w:snapToGrid w:val="0"/>
              <w:spacing w:line="300" w:lineRule="exact"/>
              <w:jc w:val="left"/>
              <w:textAlignment w:val="center"/>
              <w:rPr>
                <w:rFonts w:hint="eastAsia" w:ascii="仿宋" w:hAnsi="仿宋" w:eastAsia="仿宋" w:cs="仿宋"/>
                <w:i w:val="0"/>
                <w:iCs w:val="0"/>
                <w:color w:val="000000"/>
                <w:sz w:val="28"/>
                <w:szCs w:val="28"/>
                <w:highlight w:val="none"/>
                <w:u w:val="none"/>
              </w:rPr>
            </w:pPr>
            <w:r>
              <w:rPr>
                <w:rFonts w:hint="eastAsia" w:ascii="仿宋" w:hAnsi="仿宋" w:eastAsia="仿宋" w:cs="仿宋"/>
                <w:i w:val="0"/>
                <w:iCs w:val="0"/>
                <w:snapToGrid w:val="0"/>
                <w:color w:val="000000"/>
                <w:kern w:val="0"/>
                <w:sz w:val="28"/>
                <w:szCs w:val="28"/>
                <w:highlight w:val="none"/>
                <w:u w:val="none"/>
                <w:lang w:val="en-US" w:eastAsia="zh-CN" w:bidi="ar"/>
              </w:rPr>
              <w:t xml:space="preserve"> 填报人：                 日期：    年  月  日          盖章：</w:t>
            </w:r>
          </w:p>
        </w:tc>
      </w:tr>
    </w:tbl>
    <w:p w14:paraId="39A07B76">
      <w:pPr>
        <w:rPr>
          <w:rFonts w:hint="eastAsia" w:ascii="仿宋" w:hAnsi="仿宋" w:eastAsia="仿宋" w:cs="仿宋"/>
          <w:b/>
          <w:snapToGrid/>
          <w:color w:val="000000" w:themeColor="text1"/>
          <w:kern w:val="11"/>
          <w:sz w:val="32"/>
          <w:szCs w:val="32"/>
          <w14:textFill>
            <w14:solidFill>
              <w14:schemeClr w14:val="tx1"/>
            </w14:solidFill>
          </w14:textFill>
        </w:rPr>
      </w:pPr>
      <w:r>
        <w:rPr>
          <w:rFonts w:hint="eastAsia" w:ascii="仿宋" w:hAnsi="仿宋" w:eastAsia="仿宋" w:cs="仿宋"/>
          <w:b/>
          <w:snapToGrid/>
          <w:color w:val="000000" w:themeColor="text1"/>
          <w:kern w:val="11"/>
          <w:sz w:val="32"/>
          <w:szCs w:val="32"/>
          <w14:textFill>
            <w14:solidFill>
              <w14:schemeClr w14:val="tx1"/>
            </w14:solidFill>
          </w14:textFill>
        </w:rPr>
        <w:br w:type="page"/>
      </w:r>
    </w:p>
    <w:p w14:paraId="79046B69">
      <w:pPr>
        <w:widowControl/>
        <w:spacing w:line="360" w:lineRule="auto"/>
        <w:jc w:val="center"/>
        <w:rPr>
          <w:rFonts w:hint="eastAsia" w:ascii="仿宋" w:hAnsi="仿宋" w:eastAsia="仿宋" w:cs="仿宋"/>
          <w:b/>
          <w:snapToGrid/>
          <w:color w:val="000000" w:themeColor="text1"/>
          <w:kern w:val="11"/>
          <w:sz w:val="32"/>
          <w:szCs w:val="32"/>
          <w14:textFill>
            <w14:solidFill>
              <w14:schemeClr w14:val="tx1"/>
            </w14:solidFill>
          </w14:textFill>
        </w:rPr>
      </w:pPr>
    </w:p>
    <w:p w14:paraId="2DE5D5FE">
      <w:pPr>
        <w:widowControl/>
        <w:spacing w:line="360" w:lineRule="auto"/>
        <w:jc w:val="center"/>
        <w:rPr>
          <w:rFonts w:hint="eastAsia" w:ascii="仿宋" w:hAnsi="仿宋" w:eastAsia="仿宋" w:cs="仿宋"/>
          <w:b/>
          <w:snapToGrid/>
          <w:color w:val="000000" w:themeColor="text1"/>
          <w:kern w:val="11"/>
          <w:sz w:val="36"/>
          <w:szCs w:val="36"/>
          <w14:textFill>
            <w14:solidFill>
              <w14:schemeClr w14:val="tx1"/>
            </w14:solidFill>
          </w14:textFill>
        </w:rPr>
      </w:pPr>
      <w:r>
        <w:rPr>
          <w:rFonts w:hint="eastAsia" w:ascii="仿宋" w:hAnsi="仿宋" w:eastAsia="仿宋" w:cs="仿宋"/>
          <w:b/>
          <w:snapToGrid/>
          <w:color w:val="000000" w:themeColor="text1"/>
          <w:kern w:val="11"/>
          <w:sz w:val="36"/>
          <w:szCs w:val="36"/>
          <w14:textFill>
            <w14:solidFill>
              <w14:schemeClr w14:val="tx1"/>
            </w14:solidFill>
          </w14:textFill>
        </w:rPr>
        <w:t>目  录</w:t>
      </w:r>
    </w:p>
    <w:p w14:paraId="7D105527">
      <w:pPr>
        <w:pStyle w:val="26"/>
        <w:tabs>
          <w:tab w:val="right" w:leader="dot" w:pos="9746"/>
          <w:tab w:val="clear" w:pos="9060"/>
        </w:tabs>
        <w:spacing w:line="360" w:lineRule="auto"/>
        <w:rPr>
          <w:rFonts w:hint="eastAsia" w:ascii="仿宋" w:hAnsi="仿宋" w:eastAsia="仿宋" w:cs="仿宋"/>
          <w:b/>
          <w:bCs/>
          <w:color w:val="000000" w:themeColor="text1"/>
          <w:sz w:val="48"/>
          <w:szCs w:val="48"/>
          <w:lang w:val="zh-CN"/>
          <w14:textFill>
            <w14:solidFill>
              <w14:schemeClr w14:val="tx1"/>
            </w14:solidFill>
          </w14:textFill>
        </w:rPr>
      </w:pPr>
      <w:bookmarkStart w:id="0" w:name="_Toc46924525"/>
      <w:bookmarkStart w:id="1" w:name="_Toc32214"/>
    </w:p>
    <w:p w14:paraId="17F85939">
      <w:pPr>
        <w:pStyle w:val="26"/>
        <w:tabs>
          <w:tab w:val="right" w:leader="dot" w:pos="9746"/>
          <w:tab w:val="clear" w:pos="9060"/>
        </w:tabs>
        <w:rPr>
          <w:b w:val="0"/>
          <w:bCs w:val="0"/>
          <w:sz w:val="28"/>
          <w:szCs w:val="28"/>
        </w:rPr>
      </w:pPr>
      <w:r>
        <w:rPr>
          <w:rFonts w:hint="eastAsia" w:ascii="仿宋" w:hAnsi="仿宋" w:eastAsia="仿宋" w:cs="仿宋"/>
          <w:b w:val="0"/>
          <w:bCs w:val="0"/>
          <w:color w:val="000000" w:themeColor="text1"/>
          <w:sz w:val="60"/>
          <w:szCs w:val="60"/>
          <w:lang w:val="zh-CN"/>
          <w14:textFill>
            <w14:solidFill>
              <w14:schemeClr w14:val="tx1"/>
            </w14:solidFill>
          </w14:textFill>
        </w:rPr>
        <w:fldChar w:fldCharType="begin"/>
      </w:r>
      <w:r>
        <w:rPr>
          <w:rFonts w:hint="eastAsia" w:ascii="仿宋" w:hAnsi="仿宋" w:eastAsia="仿宋" w:cs="仿宋"/>
          <w:b w:val="0"/>
          <w:bCs w:val="0"/>
          <w:color w:val="000000" w:themeColor="text1"/>
          <w:sz w:val="60"/>
          <w:szCs w:val="60"/>
          <w:lang w:val="zh-CN"/>
          <w14:textFill>
            <w14:solidFill>
              <w14:schemeClr w14:val="tx1"/>
            </w14:solidFill>
          </w14:textFill>
        </w:rPr>
        <w:instrText xml:space="preserve">TOC \o "1-1" \h \u </w:instrText>
      </w:r>
      <w:r>
        <w:rPr>
          <w:rFonts w:hint="eastAsia" w:ascii="仿宋" w:hAnsi="仿宋" w:eastAsia="仿宋" w:cs="仿宋"/>
          <w:b w:val="0"/>
          <w:bCs w:val="0"/>
          <w:color w:val="000000" w:themeColor="text1"/>
          <w:sz w:val="60"/>
          <w:szCs w:val="60"/>
          <w:lang w:val="zh-CN"/>
          <w14:textFill>
            <w14:solidFill>
              <w14:schemeClr w14:val="tx1"/>
            </w14:solidFill>
          </w14:textFill>
        </w:rPr>
        <w:fldChar w:fldCharType="separate"/>
      </w: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_Toc5601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snapToGrid w:val="0"/>
          <w:kern w:val="21"/>
          <w:sz w:val="28"/>
          <w:szCs w:val="48"/>
          <w:lang w:val="zh-CN" w:eastAsia="zh-CN" w:bidi="ar-SA"/>
        </w:rPr>
        <w:t xml:space="preserve">第一章 </w:t>
      </w:r>
      <w:r>
        <w:rPr>
          <w:rFonts w:hint="eastAsia" w:ascii="仿宋" w:hAnsi="仿宋" w:eastAsia="仿宋" w:cs="仿宋"/>
          <w:b w:val="0"/>
          <w:bCs w:val="0"/>
          <w:sz w:val="28"/>
          <w:szCs w:val="48"/>
          <w:lang w:val="zh-CN"/>
        </w:rPr>
        <w:t>竞争性磋商公告</w:t>
      </w:r>
      <w:r>
        <w:rPr>
          <w:b w:val="0"/>
          <w:bCs w:val="0"/>
          <w:sz w:val="28"/>
          <w:szCs w:val="28"/>
        </w:rPr>
        <w:tab/>
      </w:r>
      <w:r>
        <w:rPr>
          <w:b w:val="0"/>
          <w:bCs w:val="0"/>
          <w:sz w:val="28"/>
          <w:szCs w:val="28"/>
        </w:rPr>
        <w:fldChar w:fldCharType="begin"/>
      </w:r>
      <w:r>
        <w:rPr>
          <w:b w:val="0"/>
          <w:bCs w:val="0"/>
          <w:sz w:val="28"/>
          <w:szCs w:val="28"/>
        </w:rPr>
        <w:instrText xml:space="preserve"> PAGEREF _Toc5601 \h </w:instrText>
      </w:r>
      <w:r>
        <w:rPr>
          <w:b w:val="0"/>
          <w:bCs w:val="0"/>
          <w:sz w:val="28"/>
          <w:szCs w:val="28"/>
        </w:rPr>
        <w:fldChar w:fldCharType="separate"/>
      </w:r>
      <w:r>
        <w:rPr>
          <w:b w:val="0"/>
          <w:bCs w:val="0"/>
          <w:sz w:val="28"/>
          <w:szCs w:val="28"/>
        </w:rPr>
        <w:t>1</w:t>
      </w:r>
      <w:r>
        <w:rPr>
          <w:b w:val="0"/>
          <w:bCs w:val="0"/>
          <w:sz w:val="28"/>
          <w:szCs w:val="28"/>
        </w:rPr>
        <w:fldChar w:fldCharType="end"/>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16984943">
      <w:pPr>
        <w:pStyle w:val="26"/>
        <w:tabs>
          <w:tab w:val="right" w:leader="dot" w:pos="9746"/>
          <w:tab w:val="clear" w:pos="9060"/>
        </w:tabs>
        <w:spacing w:line="240" w:lineRule="auto"/>
        <w:rPr>
          <w:rFonts w:hint="default" w:eastAsia="宋体"/>
          <w:b w:val="0"/>
          <w:bCs w:val="0"/>
          <w:sz w:val="28"/>
          <w:szCs w:val="28"/>
          <w:lang w:val="en-US" w:eastAsia="zh-CN"/>
        </w:r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_Toc12959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sz w:val="28"/>
          <w:szCs w:val="40"/>
          <w:lang w:val="zh-CN"/>
        </w:rPr>
        <w:t>第二章 供应商须知</w:t>
      </w:r>
      <w:r>
        <w:rPr>
          <w:b w:val="0"/>
          <w:bCs w:val="0"/>
          <w:sz w:val="28"/>
          <w:szCs w:val="28"/>
        </w:rPr>
        <w:tab/>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r>
        <w:rPr>
          <w:rFonts w:hint="default" w:ascii="宋体" w:hAnsi="宋体" w:eastAsia="宋体" w:cs="Times New Roman"/>
          <w:b w:val="0"/>
          <w:bCs w:val="0"/>
          <w:sz w:val="28"/>
          <w:szCs w:val="28"/>
          <w:lang w:val="en-US" w:eastAsia="zh-CN"/>
        </w:rPr>
        <w:t>7</w:t>
      </w:r>
    </w:p>
    <w:p w14:paraId="039900BC">
      <w:pPr>
        <w:pStyle w:val="26"/>
        <w:tabs>
          <w:tab w:val="right" w:leader="dot" w:pos="9746"/>
          <w:tab w:val="clear" w:pos="9060"/>
        </w:tabs>
        <w:rPr>
          <w:b w:val="0"/>
          <w:bCs w:val="0"/>
          <w:sz w:val="28"/>
          <w:szCs w:val="28"/>
        </w:r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_Toc19934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sz w:val="28"/>
          <w:szCs w:val="48"/>
          <w:lang w:val="zh-CN"/>
        </w:rPr>
        <w:t>第三章 合同书样式及主要条款（参考）</w:t>
      </w:r>
      <w:r>
        <w:rPr>
          <w:b w:val="0"/>
          <w:bCs w:val="0"/>
          <w:sz w:val="28"/>
          <w:szCs w:val="28"/>
        </w:rPr>
        <w:tab/>
      </w:r>
      <w:r>
        <w:rPr>
          <w:b w:val="0"/>
          <w:bCs w:val="0"/>
          <w:sz w:val="28"/>
          <w:szCs w:val="28"/>
        </w:rPr>
        <w:fldChar w:fldCharType="begin"/>
      </w:r>
      <w:r>
        <w:rPr>
          <w:b w:val="0"/>
          <w:bCs w:val="0"/>
          <w:sz w:val="28"/>
          <w:szCs w:val="28"/>
        </w:rPr>
        <w:instrText xml:space="preserve"> PAGEREF _Toc19934 \h </w:instrText>
      </w:r>
      <w:r>
        <w:rPr>
          <w:b w:val="0"/>
          <w:bCs w:val="0"/>
          <w:sz w:val="28"/>
          <w:szCs w:val="28"/>
        </w:rPr>
        <w:fldChar w:fldCharType="separate"/>
      </w:r>
      <w:r>
        <w:rPr>
          <w:b w:val="0"/>
          <w:bCs w:val="0"/>
          <w:sz w:val="28"/>
          <w:szCs w:val="28"/>
        </w:rPr>
        <w:t>25</w:t>
      </w:r>
      <w:r>
        <w:rPr>
          <w:b w:val="0"/>
          <w:bCs w:val="0"/>
          <w:sz w:val="28"/>
          <w:szCs w:val="28"/>
        </w:rPr>
        <w:fldChar w:fldCharType="end"/>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7EF9B115">
      <w:pPr>
        <w:pStyle w:val="26"/>
        <w:tabs>
          <w:tab w:val="right" w:leader="dot" w:pos="9746"/>
          <w:tab w:val="clear" w:pos="9060"/>
        </w:tabs>
        <w:rPr>
          <w:b w:val="0"/>
          <w:bCs w:val="0"/>
          <w:sz w:val="28"/>
          <w:szCs w:val="28"/>
        </w:r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_Toc18959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sz w:val="28"/>
          <w:szCs w:val="48"/>
          <w:lang w:val="zh-CN"/>
        </w:rPr>
        <w:t>第四章 响应文件格式</w:t>
      </w:r>
      <w:r>
        <w:rPr>
          <w:b w:val="0"/>
          <w:bCs w:val="0"/>
          <w:sz w:val="28"/>
          <w:szCs w:val="28"/>
        </w:rPr>
        <w:tab/>
      </w:r>
      <w:r>
        <w:rPr>
          <w:b w:val="0"/>
          <w:bCs w:val="0"/>
          <w:sz w:val="28"/>
          <w:szCs w:val="28"/>
        </w:rPr>
        <w:fldChar w:fldCharType="begin"/>
      </w:r>
      <w:r>
        <w:rPr>
          <w:b w:val="0"/>
          <w:bCs w:val="0"/>
          <w:sz w:val="28"/>
          <w:szCs w:val="28"/>
        </w:rPr>
        <w:instrText xml:space="preserve"> PAGEREF _Toc18959 \h </w:instrText>
      </w:r>
      <w:r>
        <w:rPr>
          <w:b w:val="0"/>
          <w:bCs w:val="0"/>
          <w:sz w:val="28"/>
          <w:szCs w:val="28"/>
        </w:rPr>
        <w:fldChar w:fldCharType="separate"/>
      </w:r>
      <w:r>
        <w:rPr>
          <w:b w:val="0"/>
          <w:bCs w:val="0"/>
          <w:sz w:val="28"/>
          <w:szCs w:val="28"/>
        </w:rPr>
        <w:t>40</w:t>
      </w:r>
      <w:r>
        <w:rPr>
          <w:b w:val="0"/>
          <w:bCs w:val="0"/>
          <w:sz w:val="28"/>
          <w:szCs w:val="28"/>
        </w:rPr>
        <w:fldChar w:fldCharType="end"/>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5F81557A">
      <w:pPr>
        <w:pStyle w:val="26"/>
        <w:tabs>
          <w:tab w:val="right" w:leader="dot" w:pos="9746"/>
          <w:tab w:val="clear" w:pos="9060"/>
        </w:tabs>
        <w:rPr>
          <w:b w:val="0"/>
          <w:bCs w:val="0"/>
          <w:sz w:val="28"/>
          <w:szCs w:val="28"/>
        </w:r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_Toc7105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sz w:val="28"/>
          <w:szCs w:val="48"/>
          <w:lang w:val="zh-CN"/>
        </w:rPr>
        <w:t>第五章 评审方法</w:t>
      </w:r>
      <w:r>
        <w:rPr>
          <w:b w:val="0"/>
          <w:bCs w:val="0"/>
          <w:sz w:val="28"/>
          <w:szCs w:val="28"/>
        </w:rPr>
        <w:tab/>
      </w:r>
      <w:r>
        <w:rPr>
          <w:b w:val="0"/>
          <w:bCs w:val="0"/>
          <w:sz w:val="28"/>
          <w:szCs w:val="28"/>
        </w:rPr>
        <w:fldChar w:fldCharType="begin"/>
      </w:r>
      <w:r>
        <w:rPr>
          <w:b w:val="0"/>
          <w:bCs w:val="0"/>
          <w:sz w:val="28"/>
          <w:szCs w:val="28"/>
        </w:rPr>
        <w:instrText xml:space="preserve"> PAGEREF _Toc7105 \h </w:instrText>
      </w:r>
      <w:r>
        <w:rPr>
          <w:b w:val="0"/>
          <w:bCs w:val="0"/>
          <w:sz w:val="28"/>
          <w:szCs w:val="28"/>
        </w:rPr>
        <w:fldChar w:fldCharType="separate"/>
      </w:r>
      <w:r>
        <w:rPr>
          <w:b w:val="0"/>
          <w:bCs w:val="0"/>
          <w:sz w:val="28"/>
          <w:szCs w:val="28"/>
        </w:rPr>
        <w:t>63</w:t>
      </w:r>
      <w:r>
        <w:rPr>
          <w:b w:val="0"/>
          <w:bCs w:val="0"/>
          <w:sz w:val="28"/>
          <w:szCs w:val="28"/>
        </w:rPr>
        <w:fldChar w:fldCharType="end"/>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6A4A91B5">
      <w:pPr>
        <w:pStyle w:val="26"/>
        <w:tabs>
          <w:tab w:val="right" w:leader="dot" w:pos="9746"/>
          <w:tab w:val="clear" w:pos="9060"/>
        </w:tabs>
        <w:rPr>
          <w:b w:val="0"/>
          <w:bCs w:val="0"/>
          <w:sz w:val="28"/>
          <w:szCs w:val="28"/>
        </w:r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begin"/>
      </w:r>
      <w:r>
        <w:rPr>
          <w:rFonts w:hint="eastAsia" w:ascii="仿宋" w:hAnsi="仿宋" w:eastAsia="仿宋" w:cs="仿宋"/>
          <w:b w:val="0"/>
          <w:bCs w:val="0"/>
          <w:sz w:val="28"/>
          <w:szCs w:val="60"/>
          <w:lang w:val="zh-CN"/>
        </w:rPr>
        <w:instrText xml:space="preserve"> HYPERLINK \l _Toc26253 </w:instrText>
      </w:r>
      <w:r>
        <w:rPr>
          <w:rFonts w:hint="eastAsia" w:ascii="仿宋" w:hAnsi="仿宋" w:eastAsia="仿宋" w:cs="仿宋"/>
          <w:b w:val="0"/>
          <w:bCs w:val="0"/>
          <w:sz w:val="28"/>
          <w:szCs w:val="60"/>
          <w:lang w:val="zh-CN"/>
        </w:rPr>
        <w:fldChar w:fldCharType="separate"/>
      </w:r>
      <w:r>
        <w:rPr>
          <w:rFonts w:hint="eastAsia" w:ascii="仿宋" w:hAnsi="仿宋" w:eastAsia="仿宋" w:cs="仿宋"/>
          <w:b w:val="0"/>
          <w:bCs w:val="0"/>
          <w:kern w:val="1"/>
          <w:sz w:val="28"/>
          <w:szCs w:val="44"/>
          <w:lang w:val="en-US" w:bidi="zh-CN"/>
        </w:rPr>
        <w:t>第六章 服务需求</w:t>
      </w:r>
      <w:r>
        <w:rPr>
          <w:b w:val="0"/>
          <w:bCs w:val="0"/>
          <w:sz w:val="28"/>
          <w:szCs w:val="28"/>
        </w:rPr>
        <w:tab/>
      </w:r>
      <w:r>
        <w:rPr>
          <w:b w:val="0"/>
          <w:bCs w:val="0"/>
          <w:sz w:val="28"/>
          <w:szCs w:val="28"/>
        </w:rPr>
        <w:fldChar w:fldCharType="begin"/>
      </w:r>
      <w:r>
        <w:rPr>
          <w:b w:val="0"/>
          <w:bCs w:val="0"/>
          <w:sz w:val="28"/>
          <w:szCs w:val="28"/>
        </w:rPr>
        <w:instrText xml:space="preserve"> PAGEREF _Toc26253 \h </w:instrText>
      </w:r>
      <w:r>
        <w:rPr>
          <w:b w:val="0"/>
          <w:bCs w:val="0"/>
          <w:sz w:val="28"/>
          <w:szCs w:val="28"/>
        </w:rPr>
        <w:fldChar w:fldCharType="separate"/>
      </w:r>
      <w:r>
        <w:rPr>
          <w:b w:val="0"/>
          <w:bCs w:val="0"/>
          <w:sz w:val="28"/>
          <w:szCs w:val="28"/>
        </w:rPr>
        <w:t>68</w:t>
      </w:r>
      <w:r>
        <w:rPr>
          <w:b w:val="0"/>
          <w:bCs w:val="0"/>
          <w:sz w:val="28"/>
          <w:szCs w:val="28"/>
        </w:rPr>
        <w:fldChar w:fldCharType="end"/>
      </w: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6908569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val="0"/>
          <w:bCs w:val="0"/>
          <w:color w:val="000000" w:themeColor="text1"/>
          <w:sz w:val="60"/>
          <w:szCs w:val="60"/>
          <w:lang w:val="zh-CN"/>
          <w14:textFill>
            <w14:solidFill>
              <w14:schemeClr w14:val="tx1"/>
            </w14:solidFill>
          </w14:textFill>
        </w:rPr>
        <w:sectPr>
          <w:footerReference r:id="rId5" w:type="default"/>
          <w:pgSz w:w="11906" w:h="16838"/>
          <w:pgMar w:top="1440" w:right="1080" w:bottom="1440" w:left="1080" w:header="851" w:footer="992" w:gutter="0"/>
          <w:pgNumType w:fmt="decimal"/>
          <w:cols w:space="720" w:num="1"/>
          <w:docGrid w:type="lines" w:linePitch="312" w:charSpace="0"/>
        </w:sectPr>
      </w:pPr>
      <w:r>
        <w:rPr>
          <w:rFonts w:hint="eastAsia" w:ascii="仿宋" w:hAnsi="仿宋" w:eastAsia="仿宋" w:cs="仿宋"/>
          <w:b w:val="0"/>
          <w:bCs w:val="0"/>
          <w:color w:val="000000" w:themeColor="text1"/>
          <w:sz w:val="28"/>
          <w:szCs w:val="60"/>
          <w:lang w:val="zh-CN"/>
          <w14:textFill>
            <w14:solidFill>
              <w14:schemeClr w14:val="tx1"/>
            </w14:solidFill>
          </w14:textFill>
        </w:rPr>
        <w:fldChar w:fldCharType="end"/>
      </w:r>
    </w:p>
    <w:p w14:paraId="520449EA">
      <w:pPr>
        <w:spacing w:line="240" w:lineRule="auto"/>
        <w:jc w:val="center"/>
        <w:outlineLvl w:val="0"/>
        <w:rPr>
          <w:rFonts w:hint="eastAsia" w:ascii="仿宋" w:hAnsi="仿宋" w:eastAsia="仿宋" w:cs="仿宋"/>
          <w:b/>
          <w:bCs/>
          <w:snapToGrid w:val="0"/>
          <w:color w:val="000000" w:themeColor="text1"/>
          <w:kern w:val="21"/>
          <w:sz w:val="28"/>
          <w:szCs w:val="28"/>
          <w:lang w:val="zh-CN" w:eastAsia="zh-CN" w:bidi="ar-SA"/>
          <w14:textFill>
            <w14:solidFill>
              <w14:schemeClr w14:val="tx1"/>
            </w14:solidFill>
          </w14:textFill>
        </w:rPr>
      </w:pPr>
      <w:bookmarkStart w:id="2" w:name="_Toc8219"/>
      <w:bookmarkStart w:id="3" w:name="_Toc5601"/>
      <w:r>
        <w:rPr>
          <w:rFonts w:hint="eastAsia" w:ascii="仿宋" w:hAnsi="仿宋" w:eastAsia="仿宋" w:cs="仿宋"/>
          <w:b/>
          <w:bCs/>
          <w:color w:val="000000" w:themeColor="text1"/>
          <w:sz w:val="36"/>
          <w:szCs w:val="36"/>
          <w:lang w:val="zh-CN" w:eastAsia="zh-CN"/>
          <w14:textFill>
            <w14:solidFill>
              <w14:schemeClr w14:val="tx1"/>
            </w14:solidFill>
          </w14:textFill>
        </w:rPr>
        <w:t>第一章</w:t>
      </w:r>
      <w:r>
        <w:rPr>
          <w:rFonts w:hint="eastAsia" w:ascii="仿宋" w:hAnsi="仿宋" w:eastAsia="仿宋" w:cs="仿宋"/>
          <w:b/>
          <w:bCs/>
          <w:color w:val="000000" w:themeColor="text1"/>
          <w:sz w:val="36"/>
          <w:szCs w:val="36"/>
          <w:lang w:val="en-US" w:eastAsia="zh-CN"/>
          <w14:textFill>
            <w14:solidFill>
              <w14:schemeClr w14:val="tx1"/>
            </w14:solidFill>
          </w14:textFill>
        </w:rPr>
        <w:t xml:space="preserve"> </w:t>
      </w:r>
      <w:r>
        <w:rPr>
          <w:rFonts w:hint="eastAsia" w:ascii="仿宋" w:hAnsi="仿宋" w:eastAsia="仿宋" w:cs="仿宋"/>
          <w:b/>
          <w:bCs/>
          <w:color w:val="000000" w:themeColor="text1"/>
          <w:sz w:val="36"/>
          <w:szCs w:val="36"/>
          <w:lang w:val="zh-CN"/>
          <w14:textFill>
            <w14:solidFill>
              <w14:schemeClr w14:val="tx1"/>
            </w14:solidFill>
          </w14:textFill>
        </w:rPr>
        <w:t>竞争性磋商公告</w:t>
      </w:r>
      <w:bookmarkEnd w:id="0"/>
      <w:bookmarkEnd w:id="1"/>
      <w:bookmarkEnd w:id="2"/>
      <w:bookmarkEnd w:id="3"/>
    </w:p>
    <w:p w14:paraId="2CFAAED8">
      <w:pPr>
        <w:pStyle w:val="14"/>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9"/>
        <w:rPr>
          <w:rFonts w:hint="eastAsia" w:ascii="仿宋" w:hAnsi="仿宋" w:eastAsia="仿宋" w:cs="仿宋"/>
          <w:b/>
          <w:bCs/>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
          <w:bCs/>
          <w:snapToGrid w:val="0"/>
          <w:color w:val="000000" w:themeColor="text1"/>
          <w:kern w:val="21"/>
          <w:sz w:val="28"/>
          <w:szCs w:val="28"/>
          <w:lang w:val="zh-CN" w:eastAsia="zh-CN" w:bidi="ar-SA"/>
          <w14:textFill>
            <w14:solidFill>
              <w14:schemeClr w14:val="tx1"/>
            </w14:solidFill>
          </w14:textFill>
        </w:rPr>
        <w:t>国家重点生态功能区景洪市南昆河流域农村生活污水治理工程监理服务</w:t>
      </w:r>
      <w:r>
        <w:rPr>
          <w:rFonts w:hint="eastAsia" w:ascii="仿宋" w:hAnsi="仿宋" w:eastAsia="仿宋" w:cs="仿宋"/>
          <w:b/>
          <w:bCs/>
          <w:snapToGrid w:val="0"/>
          <w:color w:val="000000" w:themeColor="text1"/>
          <w:kern w:val="21"/>
          <w:sz w:val="28"/>
          <w:szCs w:val="28"/>
          <w:lang w:val="en-US" w:eastAsia="zh-CN" w:bidi="ar-SA"/>
          <w14:textFill>
            <w14:solidFill>
              <w14:schemeClr w14:val="tx1"/>
            </w14:solidFill>
          </w14:textFill>
        </w:rPr>
        <w:t xml:space="preserve"> </w:t>
      </w:r>
    </w:p>
    <w:p w14:paraId="48B488BC">
      <w:pPr>
        <w:pStyle w:val="14"/>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9"/>
        <w:rPr>
          <w:rFonts w:hint="eastAsia" w:ascii="仿宋" w:hAnsi="仿宋" w:eastAsia="仿宋" w:cs="仿宋"/>
          <w:b/>
          <w:bCs/>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
          <w:bCs/>
          <w:snapToGrid w:val="0"/>
          <w:color w:val="000000" w:themeColor="text1"/>
          <w:kern w:val="21"/>
          <w:sz w:val="28"/>
          <w:szCs w:val="28"/>
          <w:lang w:val="en-US" w:eastAsia="zh-CN" w:bidi="ar-SA"/>
          <w14:textFill>
            <w14:solidFill>
              <w14:schemeClr w14:val="tx1"/>
            </w14:solidFill>
          </w14:textFill>
        </w:rPr>
        <w:t>竞争性磋商公告</w:t>
      </w:r>
    </w:p>
    <w:tbl>
      <w:tblPr>
        <w:tblStyle w:val="37"/>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2"/>
      </w:tblGrid>
      <w:tr w14:paraId="14E2B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9962" w:type="dxa"/>
            <w:noWrap w:val="0"/>
            <w:vAlign w:val="top"/>
          </w:tcPr>
          <w:p w14:paraId="2C9620FD">
            <w:pPr>
              <w:spacing w:line="360" w:lineRule="auto"/>
              <w:rPr>
                <w:rFonts w:hint="eastAsia" w:ascii="仿宋" w:hAnsi="仿宋" w:eastAsia="仿宋" w:cs="仿宋"/>
                <w:b/>
                <w:bCs/>
                <w:sz w:val="28"/>
                <w:szCs w:val="28"/>
              </w:rPr>
            </w:pPr>
            <w:bookmarkStart w:id="4" w:name="_Hlk20135437"/>
            <w:bookmarkStart w:id="5" w:name="_Toc35393798"/>
            <w:bookmarkStart w:id="6" w:name="_Toc35393629"/>
            <w:bookmarkStart w:id="7" w:name="_Toc28359012"/>
            <w:bookmarkStart w:id="8" w:name="_Toc46924526"/>
            <w:bookmarkStart w:id="9" w:name="_Toc28359089"/>
            <w:r>
              <w:rPr>
                <w:rFonts w:hint="eastAsia" w:ascii="仿宋" w:hAnsi="仿宋" w:eastAsia="仿宋" w:cs="仿宋"/>
                <w:b/>
                <w:bCs/>
                <w:sz w:val="28"/>
                <w:szCs w:val="28"/>
              </w:rPr>
              <w:t>项目概况</w:t>
            </w:r>
          </w:p>
          <w:p w14:paraId="5618A2E2">
            <w:pPr>
              <w:spacing w:line="360" w:lineRule="auto"/>
              <w:ind w:firstLine="560" w:firstLineChars="200"/>
              <w:rPr>
                <w:rFonts w:hint="eastAsia" w:ascii="仿宋" w:hAnsi="仿宋" w:eastAsia="仿宋" w:cs="仿宋"/>
                <w:sz w:val="28"/>
                <w:szCs w:val="28"/>
              </w:rPr>
            </w:pPr>
            <w:r>
              <w:rPr>
                <w:rFonts w:hint="eastAsia" w:ascii="仿宋" w:hAnsi="仿宋" w:eastAsia="仿宋" w:cs="仿宋"/>
                <w:color w:val="000000" w:themeColor="text1"/>
                <w:sz w:val="28"/>
                <w:szCs w:val="28"/>
                <w:u w:val="single"/>
                <w:lang w:eastAsia="zh-CN"/>
                <w14:textFill>
                  <w14:solidFill>
                    <w14:schemeClr w14:val="tx1"/>
                  </w14:solidFill>
                </w14:textFill>
              </w:rPr>
              <w:t>国家重点生态功能区景洪市南昆河流域农村生活污水治理工程监理服务</w:t>
            </w:r>
            <w:r>
              <w:rPr>
                <w:rFonts w:hint="eastAsia" w:ascii="仿宋" w:hAnsi="仿宋" w:eastAsia="仿宋" w:cs="仿宋"/>
                <w:color w:val="000000" w:themeColor="text1"/>
                <w:sz w:val="28"/>
                <w:szCs w:val="28"/>
                <w:u w:val="none"/>
                <w:lang w:eastAsia="zh-CN"/>
                <w14:textFill>
                  <w14:solidFill>
                    <w14:schemeClr w14:val="tx1"/>
                  </w14:solidFill>
                </w14:textFill>
              </w:rPr>
              <w:t>项目的潜在投标人应在</w:t>
            </w:r>
            <w:r>
              <w:rPr>
                <w:rFonts w:hint="eastAsia" w:ascii="仿宋" w:hAnsi="仿宋" w:eastAsia="仿宋" w:cs="仿宋"/>
                <w:color w:val="000000" w:themeColor="text1"/>
                <w:sz w:val="28"/>
                <w:szCs w:val="28"/>
                <w:u w:val="single"/>
                <w:lang w:eastAsia="zh-CN"/>
                <w14:textFill>
                  <w14:solidFill>
                    <w14:schemeClr w14:val="tx1"/>
                  </w14:solidFill>
                </w14:textFill>
              </w:rPr>
              <w:t>云南中招招标有限公司(西双版纳州旅游度假区曼弄枫山水林溪7-06)</w:t>
            </w:r>
            <w:r>
              <w:rPr>
                <w:rFonts w:hint="eastAsia" w:ascii="仿宋" w:hAnsi="仿宋" w:eastAsia="仿宋" w:cs="仿宋"/>
                <w:color w:val="000000" w:themeColor="text1"/>
                <w:sz w:val="28"/>
                <w:szCs w:val="28"/>
                <w:u w:val="none"/>
                <w:lang w:eastAsia="zh-CN"/>
                <w14:textFill>
                  <w14:solidFill>
                    <w14:schemeClr w14:val="tx1"/>
                  </w14:solidFill>
                </w14:textFill>
              </w:rPr>
              <w:t>获取竞争性磋商文件，并</w:t>
            </w:r>
            <w:r>
              <w:rPr>
                <w:rFonts w:hint="eastAsia" w:ascii="仿宋" w:hAnsi="仿宋" w:eastAsia="仿宋" w:cs="仿宋"/>
                <w:color w:val="auto"/>
                <w:sz w:val="28"/>
                <w:szCs w:val="28"/>
                <w:u w:val="none"/>
                <w:lang w:eastAsia="zh-CN"/>
              </w:rPr>
              <w:t>于</w:t>
            </w:r>
            <w:r>
              <w:rPr>
                <w:rFonts w:hint="eastAsia" w:ascii="仿宋" w:hAnsi="仿宋" w:eastAsia="仿宋" w:cs="仿宋"/>
                <w:color w:val="auto"/>
                <w:sz w:val="28"/>
                <w:szCs w:val="28"/>
                <w:u w:val="single"/>
                <w:lang w:eastAsia="zh-CN"/>
              </w:rPr>
              <w:t>202</w:t>
            </w:r>
            <w:r>
              <w:rPr>
                <w:rFonts w:hint="eastAsia" w:ascii="仿宋" w:hAnsi="仿宋" w:eastAsia="仿宋" w:cs="仿宋"/>
                <w:color w:val="auto"/>
                <w:sz w:val="28"/>
                <w:szCs w:val="28"/>
                <w:u w:val="single"/>
                <w:lang w:val="en-US" w:eastAsia="zh-CN"/>
              </w:rPr>
              <w:t>5</w:t>
            </w:r>
            <w:r>
              <w:rPr>
                <w:rFonts w:hint="eastAsia" w:ascii="仿宋" w:hAnsi="仿宋" w:eastAsia="仿宋" w:cs="仿宋"/>
                <w:color w:val="auto"/>
                <w:sz w:val="28"/>
                <w:szCs w:val="28"/>
                <w:u w:val="none"/>
                <w:lang w:eastAsia="zh-CN"/>
              </w:rPr>
              <w:t>年</w:t>
            </w:r>
            <w:r>
              <w:rPr>
                <w:rFonts w:hint="eastAsia" w:ascii="仿宋" w:hAnsi="仿宋" w:eastAsia="仿宋" w:cs="仿宋"/>
                <w:color w:val="auto"/>
                <w:sz w:val="28"/>
                <w:szCs w:val="28"/>
                <w:u w:val="single"/>
                <w:lang w:val="en-US" w:eastAsia="zh-CN"/>
              </w:rPr>
              <w:t xml:space="preserve"> 03</w:t>
            </w:r>
            <w:r>
              <w:rPr>
                <w:rFonts w:hint="eastAsia" w:ascii="仿宋" w:hAnsi="仿宋" w:eastAsia="仿宋" w:cs="仿宋"/>
                <w:color w:val="auto"/>
                <w:sz w:val="28"/>
                <w:szCs w:val="28"/>
                <w:u w:val="none"/>
                <w:lang w:eastAsia="zh-CN"/>
              </w:rPr>
              <w:t>月</w:t>
            </w:r>
            <w:r>
              <w:rPr>
                <w:rFonts w:hint="eastAsia" w:ascii="仿宋" w:hAnsi="仿宋" w:eastAsia="仿宋" w:cs="仿宋"/>
                <w:color w:val="auto"/>
                <w:sz w:val="28"/>
                <w:szCs w:val="28"/>
                <w:u w:val="single"/>
                <w:lang w:val="en-US" w:eastAsia="zh-CN"/>
              </w:rPr>
              <w:t>31</w:t>
            </w:r>
            <w:r>
              <w:rPr>
                <w:rFonts w:hint="eastAsia" w:ascii="仿宋" w:hAnsi="仿宋" w:eastAsia="仿宋" w:cs="仿宋"/>
                <w:color w:val="auto"/>
                <w:sz w:val="28"/>
                <w:szCs w:val="28"/>
                <w:u w:val="none"/>
                <w:lang w:eastAsia="zh-CN"/>
              </w:rPr>
              <w:t>日</w:t>
            </w:r>
            <w:r>
              <w:rPr>
                <w:rFonts w:hint="eastAsia" w:ascii="仿宋" w:hAnsi="仿宋" w:eastAsia="仿宋" w:cs="仿宋"/>
                <w:color w:val="auto"/>
                <w:sz w:val="28"/>
                <w:szCs w:val="28"/>
                <w:u w:val="single"/>
                <w:lang w:val="en-US" w:eastAsia="zh-CN"/>
              </w:rPr>
              <w:t>15</w:t>
            </w:r>
            <w:r>
              <w:rPr>
                <w:rFonts w:hint="eastAsia" w:ascii="仿宋" w:hAnsi="仿宋" w:eastAsia="仿宋" w:cs="仿宋"/>
                <w:color w:val="auto"/>
                <w:sz w:val="28"/>
                <w:szCs w:val="28"/>
                <w:u w:val="none"/>
                <w:lang w:eastAsia="zh-CN"/>
              </w:rPr>
              <w:t>点</w:t>
            </w:r>
            <w:r>
              <w:rPr>
                <w:rFonts w:hint="eastAsia" w:ascii="仿宋" w:hAnsi="仿宋" w:eastAsia="仿宋" w:cs="仿宋"/>
                <w:color w:val="auto"/>
                <w:sz w:val="28"/>
                <w:szCs w:val="28"/>
                <w:u w:val="single"/>
                <w:lang w:val="en-US" w:eastAsia="zh-CN"/>
              </w:rPr>
              <w:t>0</w:t>
            </w:r>
            <w:r>
              <w:rPr>
                <w:rFonts w:hint="eastAsia" w:ascii="仿宋" w:hAnsi="仿宋" w:eastAsia="仿宋" w:cs="仿宋"/>
                <w:color w:val="auto"/>
                <w:sz w:val="28"/>
                <w:szCs w:val="28"/>
                <w:u w:val="single"/>
                <w:lang w:eastAsia="zh-CN"/>
              </w:rPr>
              <w:t>0</w:t>
            </w:r>
            <w:r>
              <w:rPr>
                <w:rFonts w:hint="eastAsia" w:ascii="仿宋" w:hAnsi="仿宋" w:eastAsia="仿宋" w:cs="仿宋"/>
                <w:color w:val="auto"/>
                <w:sz w:val="28"/>
                <w:szCs w:val="28"/>
                <w:u w:val="none"/>
                <w:lang w:eastAsia="zh-CN"/>
              </w:rPr>
              <w:t>分</w:t>
            </w:r>
            <w:r>
              <w:rPr>
                <w:rFonts w:hint="eastAsia" w:ascii="仿宋" w:hAnsi="仿宋" w:eastAsia="仿宋" w:cs="仿宋"/>
                <w:color w:val="000000" w:themeColor="text1"/>
                <w:sz w:val="28"/>
                <w:szCs w:val="28"/>
                <w:u w:val="none"/>
                <w:lang w:eastAsia="zh-CN"/>
                <w14:textFill>
                  <w14:solidFill>
                    <w14:schemeClr w14:val="tx1"/>
                  </w14:solidFill>
                </w14:textFill>
              </w:rPr>
              <w:t>（北京时间）前递交响应文件。</w:t>
            </w:r>
          </w:p>
        </w:tc>
      </w:tr>
      <w:bookmarkEnd w:id="4"/>
    </w:tbl>
    <w:p w14:paraId="5F6F9E82">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一、项目基本情况</w:t>
      </w:r>
      <w:bookmarkEnd w:id="5"/>
      <w:bookmarkEnd w:id="6"/>
      <w:bookmarkEnd w:id="7"/>
      <w:bookmarkEnd w:id="8"/>
      <w:bookmarkEnd w:id="9"/>
    </w:p>
    <w:p w14:paraId="4C33EDE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bookmarkStart w:id="10" w:name="_Toc488096039"/>
      <w:bookmarkStart w:id="11" w:name="_Toc488095928"/>
      <w:bookmarkStart w:id="12" w:name="_Toc25839073"/>
      <w:bookmarkStart w:id="13" w:name="_Toc36121853"/>
      <w:bookmarkStart w:id="14" w:name="_Toc518056673"/>
      <w:bookmarkStart w:id="15" w:name="_Toc488096204"/>
      <w:bookmarkStart w:id="16" w:name="_Toc518056792"/>
      <w:bookmarkStart w:id="17" w:name="_Toc518056896"/>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项目名称：</w:t>
      </w:r>
      <w:r>
        <w:rPr>
          <w:rFonts w:hint="eastAsia" w:ascii="仿宋" w:hAnsi="仿宋" w:eastAsia="仿宋" w:cs="仿宋"/>
          <w:color w:val="000000" w:themeColor="text1"/>
          <w:sz w:val="28"/>
          <w:szCs w:val="28"/>
          <w:lang w:eastAsia="zh-CN"/>
          <w14:textFill>
            <w14:solidFill>
              <w14:schemeClr w14:val="tx1"/>
            </w14:solidFill>
          </w14:textFill>
        </w:rPr>
        <w:t>国家重点生态功能区景洪市南昆河流域农村生活污水治理工程监理服务</w:t>
      </w:r>
    </w:p>
    <w:p w14:paraId="07AC6B3E">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w:t>
      </w:r>
      <w:r>
        <w:rPr>
          <w:rFonts w:hint="eastAsia" w:ascii="仿宋" w:hAnsi="仿宋" w:eastAsia="仿宋" w:cs="仿宋"/>
          <w:color w:val="auto"/>
          <w:kern w:val="0"/>
          <w:sz w:val="28"/>
          <w:szCs w:val="28"/>
        </w:rPr>
        <w:t>项目编号：YNZZBN202503-08</w:t>
      </w:r>
    </w:p>
    <w:p w14:paraId="30F5532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highlight w:val="none"/>
          <w:lang w:eastAsia="zh-CN"/>
          <w14:textFill>
            <w14:solidFill>
              <w14:schemeClr w14:val="tx1"/>
            </w14:solidFill>
          </w14:textFill>
        </w:rPr>
        <w:t>预算金额：</w:t>
      </w:r>
      <w:r>
        <w:rPr>
          <w:rFonts w:hint="eastAsia" w:ascii="仿宋" w:hAnsi="仿宋" w:eastAsia="仿宋" w:cs="仿宋"/>
          <w:snapToGrid/>
          <w:color w:val="000000" w:themeColor="text1"/>
          <w:sz w:val="28"/>
          <w:szCs w:val="28"/>
          <w:highlight w:val="none"/>
          <w:lang w:val="zh-CN"/>
          <w14:textFill>
            <w14:solidFill>
              <w14:schemeClr w14:val="tx1"/>
            </w14:solidFill>
          </w14:textFill>
        </w:rPr>
        <w:t>¥400000</w:t>
      </w:r>
      <w:r>
        <w:rPr>
          <w:rFonts w:hint="eastAsia" w:ascii="仿宋" w:hAnsi="仿宋" w:eastAsia="仿宋" w:cs="仿宋"/>
          <w:snapToGrid/>
          <w:color w:val="000000" w:themeColor="text1"/>
          <w:sz w:val="28"/>
          <w:szCs w:val="28"/>
          <w:highlight w:val="none"/>
          <w:lang w:val="en-US" w:eastAsia="zh-CN"/>
          <w14:textFill>
            <w14:solidFill>
              <w14:schemeClr w14:val="tx1"/>
            </w14:solidFill>
          </w14:textFill>
        </w:rPr>
        <w:t>.00</w:t>
      </w:r>
      <w:r>
        <w:rPr>
          <w:rFonts w:hint="eastAsia" w:ascii="仿宋" w:hAnsi="仿宋" w:eastAsia="仿宋" w:cs="仿宋"/>
          <w:snapToGrid/>
          <w:color w:val="000000" w:themeColor="text1"/>
          <w:sz w:val="28"/>
          <w:szCs w:val="28"/>
          <w:highlight w:val="none"/>
          <w:lang w:val="zh-CN"/>
          <w14:textFill>
            <w14:solidFill>
              <w14:schemeClr w14:val="tx1"/>
            </w14:solidFill>
          </w14:textFill>
        </w:rPr>
        <w:t>元（人民币肆拾万元整）</w:t>
      </w:r>
    </w:p>
    <w:p w14:paraId="0536325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snapToGrid/>
          <w:color w:val="000000" w:themeColor="text1"/>
          <w:sz w:val="28"/>
          <w:szCs w:val="28"/>
          <w:highlight w:val="none"/>
          <w:lang w:eastAsia="zh-CN"/>
          <w14:textFill>
            <w14:solidFill>
              <w14:schemeClr w14:val="tx1"/>
            </w14:solidFill>
          </w14:textFill>
        </w:rPr>
        <w:t>最高限价</w:t>
      </w:r>
      <w:r>
        <w:rPr>
          <w:rFonts w:hint="eastAsia" w:ascii="仿宋" w:hAnsi="仿宋" w:eastAsia="仿宋" w:cs="仿宋"/>
          <w:snapToGrid/>
          <w:color w:val="000000" w:themeColor="text1"/>
          <w:sz w:val="28"/>
          <w:szCs w:val="28"/>
          <w:highlight w:val="none"/>
          <w14:textFill>
            <w14:solidFill>
              <w14:schemeClr w14:val="tx1"/>
            </w14:solidFill>
          </w14:textFill>
        </w:rPr>
        <w:t>：</w:t>
      </w:r>
      <w:r>
        <w:rPr>
          <w:rFonts w:hint="eastAsia" w:ascii="仿宋" w:hAnsi="仿宋" w:eastAsia="仿宋" w:cs="仿宋"/>
          <w:snapToGrid/>
          <w:color w:val="000000" w:themeColor="text1"/>
          <w:sz w:val="28"/>
          <w:szCs w:val="28"/>
          <w:highlight w:val="none"/>
          <w:lang w:val="zh-CN"/>
          <w14:textFill>
            <w14:solidFill>
              <w14:schemeClr w14:val="tx1"/>
            </w14:solidFill>
          </w14:textFill>
        </w:rPr>
        <w:t>¥400000</w:t>
      </w:r>
      <w:r>
        <w:rPr>
          <w:rFonts w:hint="eastAsia" w:ascii="仿宋" w:hAnsi="仿宋" w:eastAsia="仿宋" w:cs="仿宋"/>
          <w:snapToGrid/>
          <w:color w:val="000000" w:themeColor="text1"/>
          <w:sz w:val="28"/>
          <w:szCs w:val="28"/>
          <w:highlight w:val="none"/>
          <w:lang w:val="en-US" w:eastAsia="zh-CN"/>
          <w14:textFill>
            <w14:solidFill>
              <w14:schemeClr w14:val="tx1"/>
            </w14:solidFill>
          </w14:textFill>
        </w:rPr>
        <w:t>.00</w:t>
      </w:r>
      <w:r>
        <w:rPr>
          <w:rFonts w:hint="eastAsia" w:ascii="仿宋" w:hAnsi="仿宋" w:eastAsia="仿宋" w:cs="仿宋"/>
          <w:snapToGrid/>
          <w:color w:val="000000" w:themeColor="text1"/>
          <w:sz w:val="28"/>
          <w:szCs w:val="28"/>
          <w:highlight w:val="none"/>
          <w:lang w:val="zh-CN"/>
          <w14:textFill>
            <w14:solidFill>
              <w14:schemeClr w14:val="tx1"/>
            </w14:solidFill>
          </w14:textFill>
        </w:rPr>
        <w:t>元（人民币肆拾万元整）</w:t>
      </w:r>
    </w:p>
    <w:p w14:paraId="4F9FA5D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5</w:t>
      </w:r>
      <w:r>
        <w:rPr>
          <w:rFonts w:hint="eastAsia" w:ascii="仿宋" w:hAnsi="仿宋" w:eastAsia="仿宋" w:cs="仿宋"/>
          <w:color w:val="000000" w:themeColor="text1"/>
          <w:sz w:val="28"/>
          <w:szCs w:val="28"/>
          <w:lang w:eastAsia="zh-CN"/>
          <w14:textFill>
            <w14:solidFill>
              <w14:schemeClr w14:val="tx1"/>
            </w14:solidFill>
          </w14:textFill>
        </w:rPr>
        <w:t>、服务需求</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highlight w:val="red"/>
          <w:lang w:eastAsia="zh-CN"/>
          <w14:textFill>
            <w14:solidFill>
              <w14:schemeClr w14:val="tx1"/>
            </w14:solidFill>
          </w14:textFill>
        </w:rPr>
        <w:t>对国家重点生态功能区景洪市南昆河流域农村生活污水治理工程进行全过程监理，完成本项目建设施工及保修期全过程监理服务工作，包括建设工程委托监理合同范围内的工程施工质量、进度、投资控制，安全文明施工管理、合同管理、资料管理，组织协调（三控三管一协调）等的全面监理工作。</w:t>
      </w:r>
    </w:p>
    <w:p w14:paraId="4786D82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6</w:t>
      </w:r>
      <w:r>
        <w:rPr>
          <w:rFonts w:hint="eastAsia" w:ascii="仿宋" w:hAnsi="仿宋" w:eastAsia="仿宋" w:cs="仿宋"/>
          <w:color w:val="000000" w:themeColor="text1"/>
          <w:sz w:val="28"/>
          <w:szCs w:val="28"/>
          <w:highlight w:val="none"/>
          <w:lang w:eastAsia="zh-CN"/>
          <w14:textFill>
            <w14:solidFill>
              <w14:schemeClr w14:val="tx1"/>
            </w14:solidFill>
          </w14:textFill>
        </w:rPr>
        <w:t>、服务期限</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red"/>
          <w:lang w:val="en-US" w:eastAsia="zh-CN"/>
          <w14:textFill>
            <w14:solidFill>
              <w14:schemeClr w14:val="tx1"/>
            </w14:solidFill>
          </w14:textFill>
        </w:rPr>
        <w:t>监理服务期为开工准备期至竣工验收交付使用后的保修阶段止。</w:t>
      </w:r>
    </w:p>
    <w:p w14:paraId="4EAC193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bookmarkStart w:id="18" w:name="_Hlk8034129"/>
      <w:r>
        <w:rPr>
          <w:rFonts w:hint="eastAsia" w:ascii="仿宋" w:hAnsi="仿宋" w:eastAsia="仿宋" w:cs="仿宋"/>
          <w:color w:val="000000" w:themeColor="text1"/>
          <w:sz w:val="28"/>
          <w:szCs w:val="28"/>
          <w:highlight w:val="none"/>
          <w14:textFill>
            <w14:solidFill>
              <w14:schemeClr w14:val="tx1"/>
            </w14:solidFill>
          </w14:textFill>
        </w:rPr>
        <w:t>7</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质量要求：</w:t>
      </w:r>
      <w:r>
        <w:rPr>
          <w:rFonts w:hint="eastAsia" w:ascii="仿宋" w:hAnsi="仿宋" w:eastAsia="仿宋" w:cs="仿宋"/>
          <w:color w:val="000000" w:themeColor="text1"/>
          <w:sz w:val="28"/>
          <w:szCs w:val="28"/>
          <w:highlight w:val="red"/>
          <w14:textFill>
            <w14:solidFill>
              <w14:schemeClr w14:val="tx1"/>
            </w14:solidFill>
          </w14:textFill>
        </w:rPr>
        <w:t>符合国家标准及行业现行相关标准规范和招标人要求</w:t>
      </w:r>
      <w:r>
        <w:rPr>
          <w:rFonts w:hint="eastAsia" w:ascii="仿宋" w:hAnsi="仿宋" w:eastAsia="仿宋" w:cs="仿宋"/>
          <w:color w:val="000000" w:themeColor="text1"/>
          <w:sz w:val="28"/>
          <w:szCs w:val="28"/>
          <w:highlight w:val="red"/>
          <w:lang w:eastAsia="zh-CN"/>
          <w14:textFill>
            <w14:solidFill>
              <w14:schemeClr w14:val="tx1"/>
            </w14:solidFill>
          </w14:textFill>
        </w:rPr>
        <w:t>。</w:t>
      </w:r>
    </w:p>
    <w:p w14:paraId="47DA93B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napToGrid/>
          <w:color w:val="000000" w:themeColor="text1"/>
          <w:sz w:val="28"/>
          <w:szCs w:val="28"/>
          <w:highlight w:val="none"/>
          <w14:textFill>
            <w14:solidFill>
              <w14:schemeClr w14:val="tx1"/>
            </w14:solidFill>
          </w14:textFill>
        </w:rPr>
        <w:t>8</w:t>
      </w:r>
      <w:r>
        <w:rPr>
          <w:rFonts w:hint="eastAsia" w:ascii="仿宋" w:hAnsi="仿宋" w:eastAsia="仿宋" w:cs="仿宋"/>
          <w:snapToGrid/>
          <w:color w:val="000000" w:themeColor="text1"/>
          <w:sz w:val="28"/>
          <w:szCs w:val="28"/>
          <w:highlight w:val="none"/>
          <w:lang w:eastAsia="zh-CN"/>
          <w14:textFill>
            <w14:solidFill>
              <w14:schemeClr w14:val="tx1"/>
            </w14:solidFill>
          </w14:textFill>
        </w:rPr>
        <w:t>、</w:t>
      </w:r>
      <w:bookmarkEnd w:id="10"/>
      <w:bookmarkEnd w:id="11"/>
      <w:bookmarkEnd w:id="12"/>
      <w:bookmarkEnd w:id="13"/>
      <w:bookmarkEnd w:id="14"/>
      <w:bookmarkEnd w:id="15"/>
      <w:bookmarkEnd w:id="16"/>
      <w:bookmarkEnd w:id="17"/>
      <w:bookmarkEnd w:id="18"/>
      <w:r>
        <w:rPr>
          <w:rFonts w:hint="eastAsia" w:ascii="仿宋" w:hAnsi="仿宋" w:eastAsia="仿宋" w:cs="仿宋"/>
          <w:color w:val="000000" w:themeColor="text1"/>
          <w:sz w:val="28"/>
          <w:szCs w:val="28"/>
          <w14:textFill>
            <w14:solidFill>
              <w14:schemeClr w14:val="tx1"/>
            </w14:solidFill>
          </w14:textFill>
        </w:rPr>
        <w:t>服务地点：</w:t>
      </w:r>
      <w:r>
        <w:rPr>
          <w:rFonts w:hint="eastAsia" w:ascii="仿宋" w:hAnsi="仿宋" w:eastAsia="仿宋" w:cs="仿宋"/>
          <w:color w:val="000000" w:themeColor="text1"/>
          <w:sz w:val="28"/>
          <w:szCs w:val="28"/>
          <w:highlight w:val="red"/>
          <w:lang w:val="en-US" w:eastAsia="zh-CN"/>
          <w14:textFill>
            <w14:solidFill>
              <w14:schemeClr w14:val="tx1"/>
            </w14:solidFill>
          </w14:textFill>
        </w:rPr>
        <w:t>西双版纳州景洪市景讷乡、西双版纳州景洪市大渡岗乡。</w:t>
      </w:r>
    </w:p>
    <w:p w14:paraId="796557F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9、本项目不接受联合体投标。</w:t>
      </w:r>
    </w:p>
    <w:p w14:paraId="76415D0D">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lang w:eastAsia="zh-CN"/>
          <w14:textFill>
            <w14:solidFill>
              <w14:schemeClr w14:val="tx1"/>
            </w14:solidFill>
          </w14:textFill>
        </w:rPr>
      </w:pPr>
      <w:bookmarkStart w:id="19" w:name="_Toc35393799"/>
      <w:bookmarkStart w:id="20" w:name="_Toc28359090"/>
      <w:bookmarkStart w:id="21" w:name="_Toc28359013"/>
      <w:bookmarkStart w:id="22" w:name="_Toc35393630"/>
      <w:bookmarkStart w:id="23" w:name="_Toc46924527"/>
      <w:r>
        <w:rPr>
          <w:rFonts w:hint="eastAsia" w:ascii="仿宋" w:hAnsi="仿宋" w:eastAsia="仿宋" w:cs="仿宋"/>
          <w:b/>
          <w:bCs/>
          <w:color w:val="000000" w:themeColor="text1"/>
          <w:sz w:val="28"/>
          <w:szCs w:val="28"/>
          <w:lang w:eastAsia="zh-CN"/>
          <w14:textFill>
            <w14:solidFill>
              <w14:schemeClr w14:val="tx1"/>
            </w14:solidFill>
          </w14:textFill>
        </w:rPr>
        <w:t>二、申请人的资格要求：</w:t>
      </w:r>
      <w:bookmarkEnd w:id="19"/>
      <w:bookmarkEnd w:id="20"/>
      <w:bookmarkEnd w:id="21"/>
      <w:bookmarkEnd w:id="22"/>
      <w:bookmarkEnd w:id="23"/>
    </w:p>
    <w:p w14:paraId="29D8AE7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1.满足《中华人民共和国政府采购法》第二十二条规定：</w:t>
      </w:r>
    </w:p>
    <w:p w14:paraId="380DF3C7">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1.1供应商须具有独立承担民事责任的能力</w:t>
      </w:r>
      <w:r>
        <w:rPr>
          <w:rFonts w:hint="eastAsia" w:ascii="仿宋" w:hAnsi="仿宋" w:eastAsia="仿宋" w:cs="仿宋"/>
          <w:color w:val="000000" w:themeColor="text1"/>
          <w:sz w:val="28"/>
          <w:szCs w:val="28"/>
          <w:lang w:eastAsia="zh-CN"/>
          <w14:textFill>
            <w14:solidFill>
              <w14:schemeClr w14:val="tx1"/>
            </w14:solidFill>
          </w14:textFill>
        </w:rPr>
        <w:t>：提供法人或者其他组织有效的营业执照等证明文件</w:t>
      </w:r>
      <w:r>
        <w:rPr>
          <w:rFonts w:hint="eastAsia" w:ascii="仿宋" w:hAnsi="仿宋" w:eastAsia="仿宋" w:cs="仿宋"/>
          <w:color w:val="000000" w:themeColor="text1"/>
          <w:sz w:val="28"/>
          <w:szCs w:val="28"/>
          <w14:textFill>
            <w14:solidFill>
              <w14:schemeClr w14:val="tx1"/>
            </w14:solidFill>
          </w14:textFill>
        </w:rPr>
        <w:t>；</w:t>
      </w:r>
    </w:p>
    <w:p w14:paraId="5FAC41F8">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1.2</w:t>
      </w:r>
      <w:r>
        <w:rPr>
          <w:rFonts w:hint="eastAsia" w:ascii="仿宋" w:hAnsi="仿宋" w:eastAsia="仿宋" w:cs="仿宋"/>
          <w:color w:val="000000" w:themeColor="text1"/>
          <w:sz w:val="28"/>
          <w:szCs w:val="28"/>
          <w:lang w:val="zh-CN"/>
          <w14:textFill>
            <w14:solidFill>
              <w14:schemeClr w14:val="tx1"/>
            </w14:solidFill>
          </w14:textFill>
        </w:rPr>
        <w:t>具有良好的商业信誉和健全的财务会计制度：提供2023年度经第三方审计机构审计的财务状况报告，包括资产负债表、利润表（损益表）、现金流量表及其附注（新成立公司不足 1年的可提供自成立之日起任意2个月的财务报表包括资产负债表、利润表(损益表)、现金流量表，不足 2 个月的，需做出说明）或是基本开户银行出具的资信证明（资信证明出具时间应为本项目开始时间后）或是财政部门认可政府采购专业担保机构出具的投标担保函；</w:t>
      </w:r>
    </w:p>
    <w:p w14:paraId="6C146353">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1.3具有履行合同所必需的设备和专业技术能力</w:t>
      </w:r>
      <w:r>
        <w:rPr>
          <w:rFonts w:hint="eastAsia" w:ascii="仿宋" w:hAnsi="仿宋" w:eastAsia="仿宋" w:cs="仿宋"/>
          <w:color w:val="000000" w:themeColor="text1"/>
          <w:sz w:val="28"/>
          <w:szCs w:val="28"/>
          <w:lang w:eastAsia="zh-CN"/>
          <w14:textFill>
            <w14:solidFill>
              <w14:schemeClr w14:val="tx1"/>
            </w14:solidFill>
          </w14:textFill>
        </w:rPr>
        <w:t>：提供相关证明材料或承诺书；</w:t>
      </w:r>
    </w:p>
    <w:p w14:paraId="362EEB22">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lang w:val="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1.4具有</w:t>
      </w:r>
      <w:r>
        <w:rPr>
          <w:rFonts w:hint="eastAsia" w:ascii="仿宋" w:hAnsi="仿宋" w:eastAsia="仿宋" w:cs="仿宋"/>
          <w:color w:val="000000" w:themeColor="text1"/>
          <w:sz w:val="28"/>
          <w:szCs w:val="28"/>
          <w:lang w:val="zh-CN"/>
          <w14:textFill>
            <w14:solidFill>
              <w14:schemeClr w14:val="tx1"/>
            </w14:solidFill>
          </w14:textFill>
        </w:rPr>
        <w:t>依法缴纳税收和社会保险的良好记录：①提供参加本次磋商活动前段时间（2024年0</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lang w:val="zh-CN"/>
          <w14:textFill>
            <w14:solidFill>
              <w14:schemeClr w14:val="tx1"/>
            </w14:solidFill>
          </w14:textFill>
        </w:rPr>
        <w:t>月至今）任意2个月依法缴纳税收(税收是指增值税或营业税或企业所得税)的凭据；如在参加本次磋商活动前段时间上税为零，提供该段时间税收为零的《增值税或营业税或企业所得税等税款申报表》或《增值税或营业税或企业所得税等税款网上办税受理通知单》；依法免税的供应商，提供相应的免税文件证明资料；若为新成立的公司应作出说明；②参加本次磋商活动前段时间（2024年0</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lang w:val="zh-CN"/>
          <w14:textFill>
            <w14:solidFill>
              <w14:schemeClr w14:val="tx1"/>
            </w14:solidFill>
          </w14:textFill>
        </w:rPr>
        <w:t>月至今）任意2个月依法缴纳社会保险（社会保险是指养老保险、工伤保险、医疗保险和失业保险）的凭据或专用收据或社会保险缴纳清单或其他有效证明材料；依法不需要缴纳社会保险的供应商，应提供相应文件证明其依法不需要缴纳社会保险；若为新成立的公司应作出说明；</w:t>
      </w:r>
    </w:p>
    <w:p w14:paraId="7863F384">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1.5参加政府采购活动前三年内，在经营活动中没有重大违法记录（重大违法记录，是指供应商因违法经营受到刑事处罚或者责令停产停业、吊销许可证或者执照、较大数额罚款等行政处罚），提供参加本次政府采购活动前三年内的经营活动中没有重大违法记录的书面声明；</w:t>
      </w:r>
    </w:p>
    <w:p w14:paraId="6E401F3C">
      <w:pPr>
        <w:keepNext w:val="0"/>
        <w:keepLines w:val="0"/>
        <w:pageBreakBefore w:val="0"/>
        <w:widowControl w:val="0"/>
        <w:kinsoku/>
        <w:wordWrap/>
        <w:overflowPunct/>
        <w:topLinePunct w:val="0"/>
        <w:autoSpaceDE/>
        <w:autoSpaceDN/>
        <w:bidi w:val="0"/>
        <w:adjustRightInd/>
        <w:snapToGrid/>
        <w:spacing w:line="600" w:lineRule="exact"/>
        <w:ind w:firstLine="725" w:firstLineChars="259"/>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1.6供应商未被列入“信用中国”网站（www.creditchina.gov.cn）失信被执行人、重大税收违法案件当事人名单、“中国政府采购网”（www.ccgp.gov.cn）政府采购严重违法失信行为信息记录名单（查询结果以采购人、采购代理机构查询结果为准，采购人或采购代理机构将在响应文件提交截止时间后查询上述网站信用信息，查询结果作为证据留存）。</w:t>
      </w:r>
    </w:p>
    <w:p w14:paraId="38B8F69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bookmarkStart w:id="24" w:name="_Toc28359014"/>
      <w:bookmarkStart w:id="25" w:name="_Toc28359091"/>
      <w:r>
        <w:rPr>
          <w:rFonts w:hint="eastAsia" w:ascii="仿宋" w:hAnsi="仿宋" w:eastAsia="仿宋" w:cs="仿宋"/>
          <w:color w:val="000000" w:themeColor="text1"/>
          <w:sz w:val="28"/>
          <w:szCs w:val="28"/>
          <w14:textFill>
            <w14:solidFill>
              <w14:schemeClr w14:val="tx1"/>
            </w14:solidFill>
          </w14:textFill>
        </w:rPr>
        <w:t>2.落实政府采购政策需满足的资格要求：根据《政府采购促进中小企业发展管理办法》（财库﹝2020﹞46 号）、《财政部印发通知 进一步加大政府采购支持中小企业力度》(财库〔2022〕19号)、《关于印发中小企业划型标准规定的通知》（工信部联企业〔2011〕300 号）</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《财政部 司法部关于政府采购支持监狱企业发展有关问题的通知》 (财库 〔2014〕68 号)、《关于促进残疾人就业政府采购政策的通知》（财库〔2017〕 141 号）</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《国务院关于进一步促进中小企业发展的若干意见》（国发〔2009〕36 号）</w:t>
      </w:r>
      <w:r>
        <w:rPr>
          <w:rFonts w:hint="eastAsia" w:ascii="仿宋" w:hAnsi="仿宋" w:eastAsia="仿宋" w:cs="仿宋"/>
          <w:color w:val="000000" w:themeColor="text1"/>
          <w:sz w:val="28"/>
          <w:szCs w:val="28"/>
          <w:lang w:val="en-US" w:eastAsia="zh-CN"/>
          <w14:textFill>
            <w14:solidFill>
              <w14:schemeClr w14:val="tx1"/>
            </w14:solidFill>
          </w14:textFill>
        </w:rPr>
        <w:t>和</w:t>
      </w:r>
      <w:r>
        <w:rPr>
          <w:rFonts w:hint="eastAsia" w:ascii="仿宋" w:hAnsi="仿宋" w:eastAsia="仿宋" w:cs="仿宋"/>
          <w:color w:val="000000" w:themeColor="text1"/>
          <w:sz w:val="28"/>
          <w:szCs w:val="28"/>
          <w14:textFill>
            <w14:solidFill>
              <w14:schemeClr w14:val="tx1"/>
            </w14:solidFill>
          </w14:textFill>
        </w:rPr>
        <w:t>《云南省财政厅关于促进政府采购公平竞争优化营商环境的实施意见》（云财规〔2019〕5 号）等文件精神，本项目对小微企</w:t>
      </w:r>
      <w:r>
        <w:rPr>
          <w:rFonts w:hint="eastAsia" w:ascii="仿宋" w:hAnsi="仿宋" w:eastAsia="仿宋" w:cs="仿宋"/>
          <w:color w:val="auto"/>
          <w:sz w:val="28"/>
          <w:szCs w:val="28"/>
        </w:rPr>
        <w:t>业的</w:t>
      </w:r>
      <w:r>
        <w:rPr>
          <w:rFonts w:hint="eastAsia" w:ascii="仿宋" w:hAnsi="仿宋" w:eastAsia="仿宋" w:cs="仿宋"/>
          <w:color w:val="0000FF"/>
          <w:sz w:val="28"/>
          <w:szCs w:val="28"/>
        </w:rPr>
        <w:t>价格给予10%的扣除，</w:t>
      </w:r>
      <w:r>
        <w:rPr>
          <w:rFonts w:hint="eastAsia" w:ascii="仿宋" w:hAnsi="仿宋" w:eastAsia="仿宋" w:cs="仿宋"/>
          <w:color w:val="000000" w:themeColor="text1"/>
          <w:sz w:val="28"/>
          <w:szCs w:val="28"/>
          <w14:textFill>
            <w14:solidFill>
              <w14:schemeClr w14:val="tx1"/>
            </w14:solidFill>
          </w14:textFill>
        </w:rPr>
        <w:t>扣除后的价格参与报价部分评审。小微企业应当出具《中小企业声明函》，否则不享受价格扣除优惠政策。监狱企业、残疾人福利性单位视同小微企业，监狱企业、残疾人福利性单位应当出具相关证明材料，否则不享受价格扣除优惠政策。</w:t>
      </w:r>
      <w:r>
        <w:rPr>
          <w:rFonts w:hint="eastAsia" w:ascii="仿宋" w:hAnsi="仿宋" w:eastAsia="仿宋" w:cs="仿宋"/>
          <w:color w:val="000000" w:themeColor="text1"/>
          <w:sz w:val="28"/>
          <w:szCs w:val="28"/>
          <w:lang w:eastAsia="zh-CN"/>
          <w14:textFill>
            <w14:solidFill>
              <w14:schemeClr w14:val="tx1"/>
            </w14:solidFill>
          </w14:textFill>
        </w:rPr>
        <w:t>供应商</w:t>
      </w:r>
      <w:r>
        <w:rPr>
          <w:rFonts w:hint="eastAsia" w:ascii="仿宋" w:hAnsi="仿宋" w:eastAsia="仿宋" w:cs="仿宋"/>
          <w:color w:val="000000" w:themeColor="text1"/>
          <w:sz w:val="28"/>
          <w:szCs w:val="28"/>
          <w14:textFill>
            <w14:solidFill>
              <w14:schemeClr w14:val="tx1"/>
            </w14:solidFill>
          </w14:textFill>
        </w:rPr>
        <w:t>提供监狱企业、残疾人福利性单位相关证明材料和中小企业声明函内容不实的，属于提供虚假材料谋取中标，将依照《中华人民共和国政府采购法》等国家有关规定追究相应责任；</w:t>
      </w:r>
    </w:p>
    <w:p w14:paraId="672342C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3.本项目的特定资格要求：</w:t>
      </w:r>
    </w:p>
    <w:p w14:paraId="1FB3F7F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3.1供应商须具备独立法人资格，并须具备有效的建设行政主管部门颁发的工程监理综合资质或市政公用工程专业乙级（含乙级）以上资质，并在人员、设施设备等方面具有相应的监理能力。</w:t>
      </w:r>
    </w:p>
    <w:p w14:paraId="4DA7126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3.2总监理工程师的资格要求：拟派的总监理工程师必须持有国家注册监理工程师注册证书（市政公用工程专业）。并注册在投标单位（提供劳动合同或其他证明材料证明材料），且具备中级工程师及以上职称。</w:t>
      </w:r>
    </w:p>
    <w:p w14:paraId="008ED2FF">
      <w:pPr>
        <w:pStyle w:val="126"/>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14:textFill>
            <w14:solidFill>
              <w14:schemeClr w14:val="tx1"/>
            </w14:solidFill>
          </w14:textFill>
        </w:rPr>
      </w:pPr>
      <w:bookmarkStart w:id="26" w:name="_Toc35393631"/>
      <w:bookmarkStart w:id="27" w:name="_Toc46924528"/>
      <w:bookmarkStart w:id="28" w:name="_Toc35393800"/>
      <w:bookmarkStart w:id="29" w:name="_Toc1680"/>
      <w:r>
        <w:rPr>
          <w:rFonts w:hint="eastAsia" w:ascii="仿宋" w:hAnsi="仿宋" w:eastAsia="仿宋" w:cs="仿宋"/>
          <w:b/>
          <w:bCs/>
          <w:color w:val="000000" w:themeColor="text1"/>
          <w:sz w:val="28"/>
          <w:szCs w:val="28"/>
          <w:lang w:eastAsia="zh-CN"/>
          <w14:textFill>
            <w14:solidFill>
              <w14:schemeClr w14:val="tx1"/>
            </w14:solidFill>
          </w14:textFill>
        </w:rPr>
        <w:t>三</w:t>
      </w:r>
      <w:r>
        <w:rPr>
          <w:rFonts w:hint="eastAsia" w:ascii="仿宋" w:hAnsi="仿宋" w:eastAsia="仿宋" w:cs="仿宋"/>
          <w:b/>
          <w:bCs/>
          <w:color w:val="000000" w:themeColor="text1"/>
          <w:sz w:val="28"/>
          <w:szCs w:val="28"/>
          <w14:textFill>
            <w14:solidFill>
              <w14:schemeClr w14:val="tx1"/>
            </w14:solidFill>
          </w14:textFill>
        </w:rPr>
        <w:t>、</w:t>
      </w:r>
      <w:bookmarkEnd w:id="24"/>
      <w:bookmarkEnd w:id="25"/>
      <w:bookmarkEnd w:id="26"/>
      <w:bookmarkEnd w:id="27"/>
      <w:bookmarkEnd w:id="28"/>
      <w:r>
        <w:rPr>
          <w:rFonts w:hint="eastAsia" w:ascii="仿宋" w:hAnsi="仿宋" w:eastAsia="仿宋" w:cs="仿宋"/>
          <w:b/>
          <w:bCs/>
          <w:color w:val="000000" w:themeColor="text1"/>
          <w:sz w:val="28"/>
          <w:szCs w:val="28"/>
          <w14:textFill>
            <w14:solidFill>
              <w14:schemeClr w14:val="tx1"/>
            </w14:solidFill>
          </w14:textFill>
        </w:rPr>
        <w:t>竞争性磋商文件的获取</w:t>
      </w:r>
      <w:bookmarkEnd w:id="29"/>
    </w:p>
    <w:p w14:paraId="0C13112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bCs/>
          <w:sz w:val="28"/>
          <w:szCs w:val="28"/>
        </w:rPr>
      </w:pPr>
      <w:bookmarkStart w:id="30" w:name="_Toc40254131"/>
      <w:bookmarkStart w:id="31" w:name="_Toc25839086"/>
      <w:bookmarkStart w:id="32" w:name="_Toc488096054"/>
      <w:bookmarkStart w:id="33" w:name="_Toc518056910"/>
      <w:bookmarkStart w:id="34" w:name="_Toc488096218"/>
      <w:bookmarkStart w:id="35" w:name="_Toc518056687"/>
      <w:bookmarkStart w:id="36" w:name="_Toc36121869"/>
      <w:bookmarkStart w:id="37" w:name="_Toc518056806"/>
      <w:bookmarkStart w:id="38" w:name="_Toc488095943"/>
      <w:bookmarkStart w:id="39" w:name="_Toc30694"/>
      <w:bookmarkStart w:id="40" w:name="_Toc48318498"/>
      <w:bookmarkStart w:id="41" w:name="_Toc56697864"/>
      <w:bookmarkStart w:id="42" w:name="_Toc54537516"/>
      <w:bookmarkStart w:id="43" w:name="_Toc28359092"/>
      <w:bookmarkStart w:id="44" w:name="_Toc46924529"/>
      <w:bookmarkStart w:id="45" w:name="_Toc35393632"/>
      <w:bookmarkStart w:id="46" w:name="_Toc28359015"/>
      <w:bookmarkStart w:id="47" w:name="_Toc35393801"/>
      <w:r>
        <w:rPr>
          <w:rFonts w:hint="eastAsia" w:ascii="仿宋" w:hAnsi="仿宋" w:eastAsia="仿宋" w:cs="仿宋"/>
          <w:bCs/>
          <w:color w:val="000000" w:themeColor="text1"/>
          <w:sz w:val="28"/>
          <w:szCs w:val="28"/>
          <w:lang w:val="en-US" w:eastAsia="zh-CN"/>
          <w14:textFill>
            <w14:solidFill>
              <w14:schemeClr w14:val="tx1"/>
            </w14:solidFill>
          </w14:textFill>
        </w:rPr>
        <w:t>1.</w:t>
      </w:r>
      <w:r>
        <w:rPr>
          <w:rFonts w:hint="eastAsia" w:ascii="仿宋" w:hAnsi="仿宋" w:eastAsia="仿宋" w:cs="仿宋"/>
          <w:bCs/>
          <w:color w:val="000000" w:themeColor="text1"/>
          <w:sz w:val="28"/>
          <w:szCs w:val="28"/>
          <w14:textFill>
            <w14:solidFill>
              <w14:schemeClr w14:val="tx1"/>
            </w14:solidFill>
          </w14:textFill>
        </w:rPr>
        <w:t>获取时间：</w:t>
      </w:r>
      <w:bookmarkEnd w:id="30"/>
      <w:bookmarkEnd w:id="31"/>
      <w:bookmarkEnd w:id="32"/>
      <w:bookmarkEnd w:id="33"/>
      <w:bookmarkEnd w:id="34"/>
      <w:bookmarkEnd w:id="35"/>
      <w:bookmarkEnd w:id="36"/>
      <w:bookmarkEnd w:id="37"/>
      <w:bookmarkEnd w:id="38"/>
      <w:r>
        <w:rPr>
          <w:rFonts w:hint="eastAsia" w:ascii="仿宋" w:hAnsi="仿宋" w:eastAsia="仿宋" w:cs="仿宋"/>
          <w:bCs/>
          <w:color w:val="0000FF"/>
          <w:sz w:val="28"/>
          <w:szCs w:val="28"/>
          <w:lang w:val="en-US" w:eastAsia="zh-CN"/>
        </w:rPr>
        <w:t>2025</w:t>
      </w:r>
      <w:r>
        <w:rPr>
          <w:rFonts w:hint="eastAsia" w:ascii="仿宋" w:hAnsi="仿宋" w:eastAsia="仿宋" w:cs="仿宋"/>
          <w:bCs/>
          <w:color w:val="0000FF"/>
          <w:sz w:val="28"/>
          <w:szCs w:val="28"/>
          <w:lang w:eastAsia="zh-CN"/>
        </w:rPr>
        <w:t>年</w:t>
      </w:r>
      <w:r>
        <w:rPr>
          <w:rFonts w:hint="eastAsia" w:ascii="仿宋" w:hAnsi="仿宋" w:eastAsia="仿宋" w:cs="仿宋"/>
          <w:bCs/>
          <w:color w:val="0000FF"/>
          <w:sz w:val="28"/>
          <w:szCs w:val="28"/>
          <w:lang w:val="en-US" w:eastAsia="zh-CN"/>
        </w:rPr>
        <w:t>03</w:t>
      </w:r>
      <w:r>
        <w:rPr>
          <w:rFonts w:hint="eastAsia" w:ascii="仿宋" w:hAnsi="仿宋" w:eastAsia="仿宋" w:cs="仿宋"/>
          <w:bCs/>
          <w:color w:val="0000FF"/>
          <w:sz w:val="28"/>
          <w:szCs w:val="28"/>
          <w:lang w:eastAsia="zh-CN"/>
        </w:rPr>
        <w:t>月</w:t>
      </w:r>
      <w:r>
        <w:rPr>
          <w:rFonts w:hint="eastAsia" w:ascii="仿宋" w:hAnsi="仿宋" w:eastAsia="仿宋" w:cs="仿宋"/>
          <w:bCs/>
          <w:color w:val="0000FF"/>
          <w:sz w:val="28"/>
          <w:szCs w:val="28"/>
          <w:lang w:val="en-US" w:eastAsia="zh-CN"/>
        </w:rPr>
        <w:t>21</w:t>
      </w:r>
      <w:r>
        <w:rPr>
          <w:rFonts w:hint="eastAsia" w:ascii="仿宋" w:hAnsi="仿宋" w:eastAsia="仿宋" w:cs="仿宋"/>
          <w:bCs/>
          <w:color w:val="0000FF"/>
          <w:sz w:val="28"/>
          <w:szCs w:val="28"/>
          <w:lang w:eastAsia="zh-CN"/>
        </w:rPr>
        <w:t>日至</w:t>
      </w:r>
      <w:r>
        <w:rPr>
          <w:rFonts w:hint="eastAsia" w:ascii="仿宋" w:hAnsi="仿宋" w:eastAsia="仿宋" w:cs="仿宋"/>
          <w:bCs/>
          <w:color w:val="0000FF"/>
          <w:sz w:val="28"/>
          <w:szCs w:val="28"/>
          <w:lang w:val="en-US" w:eastAsia="zh-CN"/>
        </w:rPr>
        <w:t xml:space="preserve"> 2025</w:t>
      </w:r>
      <w:r>
        <w:rPr>
          <w:rFonts w:hint="eastAsia" w:ascii="仿宋" w:hAnsi="仿宋" w:eastAsia="仿宋" w:cs="仿宋"/>
          <w:bCs/>
          <w:color w:val="0000FF"/>
          <w:sz w:val="28"/>
          <w:szCs w:val="28"/>
          <w:lang w:eastAsia="zh-CN"/>
        </w:rPr>
        <w:t>年</w:t>
      </w:r>
      <w:r>
        <w:rPr>
          <w:rFonts w:hint="eastAsia" w:ascii="仿宋" w:hAnsi="仿宋" w:eastAsia="仿宋" w:cs="仿宋"/>
          <w:bCs/>
          <w:color w:val="0000FF"/>
          <w:sz w:val="28"/>
          <w:szCs w:val="28"/>
          <w:lang w:val="en-US" w:eastAsia="zh-CN"/>
        </w:rPr>
        <w:t>03</w:t>
      </w:r>
      <w:r>
        <w:rPr>
          <w:rFonts w:hint="eastAsia" w:ascii="仿宋" w:hAnsi="仿宋" w:eastAsia="仿宋" w:cs="仿宋"/>
          <w:bCs/>
          <w:color w:val="0000FF"/>
          <w:sz w:val="28"/>
          <w:szCs w:val="28"/>
          <w:lang w:eastAsia="zh-CN"/>
        </w:rPr>
        <w:t>月</w:t>
      </w:r>
      <w:r>
        <w:rPr>
          <w:rFonts w:hint="eastAsia" w:ascii="仿宋" w:hAnsi="仿宋" w:eastAsia="仿宋" w:cs="仿宋"/>
          <w:bCs/>
          <w:color w:val="0000FF"/>
          <w:sz w:val="28"/>
          <w:szCs w:val="28"/>
          <w:lang w:val="en-US" w:eastAsia="zh-CN"/>
        </w:rPr>
        <w:t>28</w:t>
      </w:r>
      <w:r>
        <w:rPr>
          <w:rFonts w:hint="eastAsia" w:ascii="仿宋" w:hAnsi="仿宋" w:eastAsia="仿宋" w:cs="仿宋"/>
          <w:bCs/>
          <w:color w:val="0000FF"/>
          <w:sz w:val="28"/>
          <w:szCs w:val="28"/>
          <w:lang w:eastAsia="zh-CN"/>
        </w:rPr>
        <w:t>日</w:t>
      </w:r>
      <w:r>
        <w:rPr>
          <w:rFonts w:hint="eastAsia" w:ascii="仿宋" w:hAnsi="仿宋" w:eastAsia="仿宋" w:cs="仿宋"/>
          <w:bCs/>
          <w:color w:val="000000" w:themeColor="text1"/>
          <w:sz w:val="28"/>
          <w:szCs w:val="28"/>
          <w:lang w:eastAsia="zh-CN"/>
          <w14:textFill>
            <w14:solidFill>
              <w14:schemeClr w14:val="tx1"/>
            </w14:solidFill>
          </w14:textFill>
        </w:rPr>
        <w:t>（提供期限自本公告发布之日起不得少于</w:t>
      </w:r>
      <w:r>
        <w:rPr>
          <w:rFonts w:hint="eastAsia" w:ascii="仿宋" w:hAnsi="仿宋" w:eastAsia="仿宋" w:cs="仿宋"/>
          <w:bCs/>
          <w:color w:val="000000" w:themeColor="text1"/>
          <w:sz w:val="28"/>
          <w:szCs w:val="28"/>
          <w:lang w:val="en-US" w:eastAsia="zh-CN"/>
          <w14:textFill>
            <w14:solidFill>
              <w14:schemeClr w14:val="tx1"/>
            </w14:solidFill>
          </w14:textFill>
        </w:rPr>
        <w:t>5</w:t>
      </w:r>
      <w:r>
        <w:rPr>
          <w:rFonts w:hint="eastAsia" w:ascii="仿宋" w:hAnsi="仿宋" w:eastAsia="仿宋" w:cs="仿宋"/>
          <w:bCs/>
          <w:color w:val="000000" w:themeColor="text1"/>
          <w:sz w:val="28"/>
          <w:szCs w:val="28"/>
          <w:lang w:eastAsia="zh-CN"/>
          <w14:textFill>
            <w14:solidFill>
              <w14:schemeClr w14:val="tx1"/>
            </w14:solidFill>
          </w14:textFill>
        </w:rPr>
        <w:t>个工作日），每天上午08时00分至12时00分，下午</w:t>
      </w:r>
      <w:r>
        <w:rPr>
          <w:rFonts w:hint="eastAsia" w:ascii="仿宋" w:hAnsi="仿宋" w:eastAsia="仿宋" w:cs="仿宋"/>
          <w:bCs/>
          <w:color w:val="000000" w:themeColor="text1"/>
          <w:sz w:val="28"/>
          <w:szCs w:val="28"/>
          <w:lang w:val="en-US" w:eastAsia="zh-CN"/>
          <w14:textFill>
            <w14:solidFill>
              <w14:schemeClr w14:val="tx1"/>
            </w14:solidFill>
          </w14:textFill>
        </w:rPr>
        <w:t>12</w:t>
      </w:r>
      <w:r>
        <w:rPr>
          <w:rFonts w:hint="eastAsia" w:ascii="仿宋" w:hAnsi="仿宋" w:eastAsia="仿宋" w:cs="仿宋"/>
          <w:bCs/>
          <w:color w:val="000000" w:themeColor="text1"/>
          <w:sz w:val="28"/>
          <w:szCs w:val="28"/>
          <w:lang w:eastAsia="zh-CN"/>
          <w14:textFill>
            <w14:solidFill>
              <w14:schemeClr w14:val="tx1"/>
            </w14:solidFill>
          </w14:textFill>
        </w:rPr>
        <w:t>时</w:t>
      </w:r>
      <w:r>
        <w:rPr>
          <w:rFonts w:hint="eastAsia" w:ascii="仿宋" w:hAnsi="仿宋" w:eastAsia="仿宋" w:cs="仿宋"/>
          <w:bCs/>
          <w:color w:val="000000" w:themeColor="text1"/>
          <w:sz w:val="28"/>
          <w:szCs w:val="28"/>
          <w:lang w:val="en-US" w:eastAsia="zh-CN"/>
          <w14:textFill>
            <w14:solidFill>
              <w14:schemeClr w14:val="tx1"/>
            </w14:solidFill>
          </w14:textFill>
        </w:rPr>
        <w:t>00</w:t>
      </w:r>
      <w:r>
        <w:rPr>
          <w:rFonts w:hint="eastAsia" w:ascii="仿宋" w:hAnsi="仿宋" w:eastAsia="仿宋" w:cs="仿宋"/>
          <w:bCs/>
          <w:color w:val="000000" w:themeColor="text1"/>
          <w:sz w:val="28"/>
          <w:szCs w:val="28"/>
          <w:lang w:eastAsia="zh-CN"/>
          <w14:textFill>
            <w14:solidFill>
              <w14:schemeClr w14:val="tx1"/>
            </w14:solidFill>
          </w14:textFill>
        </w:rPr>
        <w:t>分至18时00分（北京时间，法定节假日、公休日除外）</w:t>
      </w:r>
      <w:r>
        <w:rPr>
          <w:rFonts w:hint="eastAsia" w:ascii="仿宋" w:hAnsi="仿宋" w:eastAsia="仿宋" w:cs="仿宋"/>
          <w:bCs/>
          <w:sz w:val="28"/>
          <w:szCs w:val="28"/>
        </w:rPr>
        <w:t>。</w:t>
      </w:r>
    </w:p>
    <w:p w14:paraId="6A9AF07A">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bidi="zh-CN"/>
          <w14:textFill>
            <w14:solidFill>
              <w14:schemeClr w14:val="tx1"/>
            </w14:solidFill>
          </w14:textFill>
        </w:rPr>
      </w:pPr>
      <w:r>
        <w:rPr>
          <w:rFonts w:hint="eastAsia" w:ascii="仿宋" w:hAnsi="仿宋" w:eastAsia="仿宋" w:cs="仿宋"/>
          <w:sz w:val="28"/>
          <w:szCs w:val="28"/>
          <w:lang w:val="en-US" w:eastAsia="zh-CN" w:bidi="zh-CN"/>
        </w:rPr>
        <w:t>2.</w:t>
      </w:r>
      <w:r>
        <w:rPr>
          <w:rFonts w:hint="eastAsia" w:ascii="仿宋" w:hAnsi="仿宋" w:eastAsia="仿宋" w:cs="仿宋"/>
          <w:sz w:val="28"/>
          <w:szCs w:val="28"/>
          <w:lang w:eastAsia="zh-CN" w:bidi="zh-CN"/>
        </w:rPr>
        <w:t>获取地点：</w:t>
      </w:r>
      <w:r>
        <w:rPr>
          <w:rFonts w:hint="eastAsia" w:ascii="仿宋" w:hAnsi="仿宋" w:eastAsia="仿宋" w:cs="仿宋"/>
          <w:sz w:val="28"/>
          <w:szCs w:val="28"/>
          <w:lang w:bidi="zh-CN"/>
        </w:rPr>
        <w:t>在云南中招招标有限公司(</w:t>
      </w:r>
      <w:r>
        <w:rPr>
          <w:rFonts w:hint="eastAsia" w:ascii="仿宋" w:hAnsi="仿宋" w:eastAsia="仿宋" w:cs="仿宋"/>
          <w:sz w:val="28"/>
          <w:szCs w:val="28"/>
          <w:lang w:eastAsia="zh-CN" w:bidi="zh-CN"/>
        </w:rPr>
        <w:t>西双版纳州旅游度假区曼弄枫山水林溪7一06</w:t>
      </w:r>
      <w:r>
        <w:rPr>
          <w:rFonts w:hint="eastAsia" w:ascii="仿宋" w:hAnsi="仿宋" w:eastAsia="仿宋" w:cs="仿宋"/>
          <w:sz w:val="28"/>
          <w:szCs w:val="28"/>
          <w:lang w:bidi="zh-CN"/>
        </w:rPr>
        <w:t>）购买竞争性谈判文件。现场获取竞争性磋商文件并登记报名信息，证件必须是在年检有效期内。</w:t>
      </w:r>
    </w:p>
    <w:p w14:paraId="6B48CF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hint="eastAsia" w:ascii="仿宋" w:hAnsi="仿宋" w:eastAsia="仿宋" w:cs="仿宋"/>
          <w:color w:val="000000" w:themeColor="text1"/>
          <w:sz w:val="28"/>
          <w:szCs w:val="28"/>
          <w:lang w:val="en-US" w:bidi="zh-CN"/>
          <w14:textFill>
            <w14:solidFill>
              <w14:schemeClr w14:val="tx1"/>
            </w14:solidFill>
          </w14:textFill>
        </w:rPr>
        <w:t>3.</w:t>
      </w:r>
      <w:r>
        <w:rPr>
          <w:rFonts w:hint="eastAsia" w:ascii="仿宋" w:hAnsi="仿宋" w:eastAsia="仿宋" w:cs="仿宋"/>
          <w:color w:val="000000" w:themeColor="text1"/>
          <w:sz w:val="28"/>
          <w:szCs w:val="28"/>
          <w:lang w:eastAsia="zh-CN" w:bidi="zh-CN"/>
          <w14:textFill>
            <w14:solidFill>
              <w14:schemeClr w14:val="tx1"/>
            </w14:solidFill>
          </w14:textFill>
        </w:rPr>
        <w:t>获取方式：购买竞争性谈判文件时须供应商的法定代表人或委托代理人携带以下证件的彩色复印件并加盖</w:t>
      </w:r>
      <w:r>
        <w:rPr>
          <w:rFonts w:hint="eastAsia" w:ascii="仿宋" w:hAnsi="仿宋" w:eastAsia="仿宋" w:cs="仿宋"/>
          <w:color w:val="000000" w:themeColor="text1"/>
          <w:sz w:val="28"/>
          <w:szCs w:val="28"/>
          <w:lang w:val="en-US" w:eastAsia="zh-CN" w:bidi="zh-CN"/>
          <w14:textFill>
            <w14:solidFill>
              <w14:schemeClr w14:val="tx1"/>
            </w14:solidFill>
          </w14:textFill>
        </w:rPr>
        <w:t>单位鲜章</w:t>
      </w:r>
      <w:bookmarkEnd w:id="39"/>
      <w:r>
        <w:rPr>
          <w:rFonts w:hint="eastAsia" w:ascii="仿宋" w:hAnsi="仿宋" w:eastAsia="仿宋" w:cs="仿宋"/>
          <w:color w:val="000000" w:themeColor="text1"/>
          <w:sz w:val="28"/>
          <w:szCs w:val="28"/>
          <w:lang w:val="en-US" w:eastAsia="zh-CN" w:bidi="zh-CN"/>
          <w14:textFill>
            <w14:solidFill>
              <w14:schemeClr w14:val="tx1"/>
            </w14:solidFill>
          </w14:textFill>
        </w:rPr>
        <w:t>：</w:t>
      </w:r>
    </w:p>
    <w:p w14:paraId="3B7C5AC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eastAsia="zh-CN" w:bidi="zh-CN"/>
          <w14:textFill>
            <w14:solidFill>
              <w14:schemeClr w14:val="tx1"/>
            </w14:solidFill>
          </w14:textFill>
        </w:rPr>
      </w:pPr>
      <w:r>
        <w:rPr>
          <w:rFonts w:hint="eastAsia" w:ascii="仿宋" w:hAnsi="仿宋" w:eastAsia="仿宋" w:cs="仿宋"/>
          <w:color w:val="000000" w:themeColor="text1"/>
          <w:sz w:val="28"/>
          <w:szCs w:val="28"/>
          <w:lang w:val="en-US" w:eastAsia="zh-CN" w:bidi="zh-CN"/>
          <w14:textFill>
            <w14:solidFill>
              <w14:schemeClr w14:val="tx1"/>
            </w14:solidFill>
          </w14:textFill>
        </w:rPr>
        <w:t>（1）</w:t>
      </w:r>
      <w:r>
        <w:rPr>
          <w:rFonts w:hint="eastAsia" w:ascii="仿宋" w:hAnsi="仿宋" w:eastAsia="仿宋" w:cs="仿宋"/>
          <w:color w:val="000000" w:themeColor="text1"/>
          <w:sz w:val="28"/>
          <w:szCs w:val="28"/>
          <w:lang w:eastAsia="zh-CN" w:bidi="zh-CN"/>
          <w14:textFill>
            <w14:solidFill>
              <w14:schemeClr w14:val="tx1"/>
            </w14:solidFill>
          </w14:textFill>
        </w:rPr>
        <w:t>三证合一的“营业执照”；</w:t>
      </w:r>
    </w:p>
    <w:p w14:paraId="487CCC1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eastAsia="zh-CN" w:bidi="zh-CN"/>
          <w14:textFill>
            <w14:solidFill>
              <w14:schemeClr w14:val="tx1"/>
            </w14:solidFill>
          </w14:textFill>
        </w:rPr>
      </w:pPr>
      <w:r>
        <w:rPr>
          <w:rFonts w:hint="eastAsia" w:ascii="仿宋" w:hAnsi="仿宋" w:eastAsia="仿宋" w:cs="仿宋"/>
          <w:color w:val="000000" w:themeColor="text1"/>
          <w:sz w:val="28"/>
          <w:szCs w:val="28"/>
          <w:lang w:val="en-US" w:eastAsia="zh-CN" w:bidi="zh-CN"/>
          <w14:textFill>
            <w14:solidFill>
              <w14:schemeClr w14:val="tx1"/>
            </w14:solidFill>
          </w14:textFill>
        </w:rPr>
        <w:t>（2）</w:t>
      </w:r>
      <w:r>
        <w:rPr>
          <w:rFonts w:hint="eastAsia" w:ascii="仿宋" w:hAnsi="仿宋" w:eastAsia="仿宋" w:cs="仿宋"/>
          <w:color w:val="000000" w:themeColor="text1"/>
          <w:sz w:val="28"/>
          <w:szCs w:val="28"/>
          <w:lang w:eastAsia="zh-CN" w:bidi="zh-CN"/>
          <w14:textFill>
            <w14:solidFill>
              <w14:schemeClr w14:val="tx1"/>
            </w14:solidFill>
          </w14:textFill>
        </w:rPr>
        <w:t>企业法定代表人身份证明书、法定代表人身份证（委托代理人报名的无需提供法人身份证）；企业法定代表人授权委托书、委托代理人身份证（法人报名的无需授权）；</w:t>
      </w:r>
    </w:p>
    <w:p w14:paraId="2ECA6D5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hint="eastAsia" w:ascii="仿宋" w:hAnsi="仿宋" w:eastAsia="仿宋" w:cs="仿宋"/>
          <w:color w:val="000000" w:themeColor="text1"/>
          <w:sz w:val="28"/>
          <w:szCs w:val="28"/>
          <w:lang w:val="en-US" w:eastAsia="zh-CN" w:bidi="zh-CN"/>
          <w14:textFill>
            <w14:solidFill>
              <w14:schemeClr w14:val="tx1"/>
            </w14:solidFill>
          </w14:textFill>
        </w:rPr>
        <w:t>（3）有效的建设行政主管部门颁发的工程监理综合资质证书或市政公用工程专业乙级（含乙级）以上资质证书；</w:t>
      </w:r>
    </w:p>
    <w:p w14:paraId="62E7316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hint="eastAsia" w:ascii="仿宋" w:hAnsi="仿宋" w:eastAsia="仿宋" w:cs="仿宋"/>
          <w:color w:val="000000" w:themeColor="text1"/>
          <w:sz w:val="28"/>
          <w:szCs w:val="28"/>
          <w:lang w:val="en-US" w:eastAsia="zh-CN" w:bidi="zh-CN"/>
          <w14:textFill>
            <w14:solidFill>
              <w14:schemeClr w14:val="tx1"/>
            </w14:solidFill>
          </w14:textFill>
        </w:rPr>
        <w:t>（4）总监理工程师国家注册监理工程师注册证书（市政公用工程专业），并注册在投标单位（提供劳动合同</w:t>
      </w:r>
      <w:r>
        <w:rPr>
          <w:rFonts w:hint="eastAsia" w:ascii="仿宋" w:hAnsi="仿宋" w:eastAsia="仿宋" w:cs="仿宋"/>
          <w:color w:val="000000" w:themeColor="text1"/>
          <w:sz w:val="28"/>
          <w:szCs w:val="28"/>
          <w:u w:val="none"/>
          <w:lang w:val="en-US" w:eastAsia="zh-CN" w:bidi="zh-CN"/>
          <w14:textFill>
            <w14:solidFill>
              <w14:schemeClr w14:val="tx1"/>
            </w14:solidFill>
          </w14:textFill>
        </w:rPr>
        <w:t>或其他合法</w:t>
      </w:r>
      <w:r>
        <w:rPr>
          <w:rFonts w:hint="eastAsia" w:ascii="仿宋" w:hAnsi="仿宋" w:eastAsia="仿宋" w:cs="仿宋"/>
          <w:color w:val="000000" w:themeColor="text1"/>
          <w:sz w:val="28"/>
          <w:szCs w:val="28"/>
          <w:lang w:val="en-US" w:eastAsia="zh-CN" w:bidi="zh-CN"/>
          <w14:textFill>
            <w14:solidFill>
              <w14:schemeClr w14:val="tx1"/>
            </w14:solidFill>
          </w14:textFill>
        </w:rPr>
        <w:t>证明材料），且具备中级工程师及以上职称。</w:t>
      </w:r>
    </w:p>
    <w:p w14:paraId="0E1E270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bidi="zh-CN"/>
          <w14:textFill>
            <w14:solidFill>
              <w14:schemeClr w14:val="tx1"/>
            </w14:solidFill>
          </w14:textFill>
        </w:rPr>
      </w:pPr>
      <w:r>
        <w:rPr>
          <w:rFonts w:hint="eastAsia" w:ascii="仿宋" w:hAnsi="仿宋" w:eastAsia="仿宋" w:cs="仿宋"/>
          <w:color w:val="000000" w:themeColor="text1"/>
          <w:sz w:val="28"/>
          <w:szCs w:val="28"/>
          <w:lang w:val="en-US" w:eastAsia="zh-CN" w:bidi="zh-CN"/>
          <w14:textFill>
            <w14:solidFill>
              <w14:schemeClr w14:val="tx1"/>
            </w14:solidFill>
          </w14:textFill>
        </w:rPr>
        <w:t>（5）参加谈判活动前3年内，在经营活动中没有重大违法记录的书面声明。</w:t>
      </w:r>
    </w:p>
    <w:bookmarkEnd w:id="40"/>
    <w:bookmarkEnd w:id="41"/>
    <w:bookmarkEnd w:id="42"/>
    <w:p w14:paraId="701AA3B6">
      <w:pPr>
        <w:pStyle w:val="126"/>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14:textFill>
            <w14:solidFill>
              <w14:schemeClr w14:val="tx1"/>
            </w14:solidFill>
          </w14:textFill>
        </w:rPr>
      </w:pPr>
      <w:bookmarkStart w:id="48" w:name="_Toc6480"/>
      <w:r>
        <w:rPr>
          <w:rFonts w:hint="eastAsia" w:ascii="仿宋" w:hAnsi="仿宋" w:eastAsia="仿宋" w:cs="仿宋"/>
          <w:b/>
          <w:bCs/>
          <w:color w:val="000000" w:themeColor="text1"/>
          <w:sz w:val="28"/>
          <w:szCs w:val="28"/>
          <w:lang w:eastAsia="zh-CN"/>
          <w14:textFill>
            <w14:solidFill>
              <w14:schemeClr w14:val="tx1"/>
            </w14:solidFill>
          </w14:textFill>
        </w:rPr>
        <w:t>四</w:t>
      </w:r>
      <w:r>
        <w:rPr>
          <w:rFonts w:hint="eastAsia" w:ascii="仿宋" w:hAnsi="仿宋" w:eastAsia="仿宋" w:cs="仿宋"/>
          <w:b/>
          <w:bCs/>
          <w:color w:val="000000" w:themeColor="text1"/>
          <w:sz w:val="28"/>
          <w:szCs w:val="28"/>
          <w14:textFill>
            <w14:solidFill>
              <w14:schemeClr w14:val="tx1"/>
            </w14:solidFill>
          </w14:textFill>
        </w:rPr>
        <w:t>、</w:t>
      </w:r>
      <w:bookmarkEnd w:id="43"/>
      <w:bookmarkEnd w:id="44"/>
      <w:bookmarkEnd w:id="45"/>
      <w:bookmarkEnd w:id="46"/>
      <w:bookmarkEnd w:id="47"/>
      <w:bookmarkEnd w:id="48"/>
      <w:bookmarkStart w:id="49" w:name="_Toc3333"/>
      <w:bookmarkStart w:id="50" w:name="_Toc54537518"/>
      <w:bookmarkStart w:id="51" w:name="_Toc48318500"/>
      <w:bookmarkStart w:id="52" w:name="_Toc19383"/>
      <w:bookmarkStart w:id="53" w:name="_Toc56697866"/>
      <w:bookmarkStart w:id="54" w:name="_Toc35393802"/>
      <w:bookmarkStart w:id="55" w:name="_Toc28359093"/>
      <w:bookmarkStart w:id="56" w:name="_Toc28359016"/>
      <w:bookmarkStart w:id="57" w:name="_Toc46924530"/>
      <w:bookmarkStart w:id="58" w:name="_Toc35393633"/>
      <w:r>
        <w:rPr>
          <w:rFonts w:hint="eastAsia" w:ascii="仿宋" w:hAnsi="仿宋" w:eastAsia="仿宋" w:cs="仿宋"/>
          <w:b/>
          <w:bCs/>
          <w:color w:val="000000" w:themeColor="text1"/>
          <w:sz w:val="28"/>
          <w:szCs w:val="28"/>
          <w14:textFill>
            <w14:solidFill>
              <w14:schemeClr w14:val="tx1"/>
            </w14:solidFill>
          </w14:textFill>
        </w:rPr>
        <w:t>响应文件的递交</w:t>
      </w:r>
      <w:bookmarkEnd w:id="49"/>
      <w:bookmarkEnd w:id="50"/>
      <w:bookmarkEnd w:id="51"/>
      <w:bookmarkEnd w:id="52"/>
      <w:bookmarkEnd w:id="53"/>
    </w:p>
    <w:p w14:paraId="0C50FE84">
      <w:pPr>
        <w:pStyle w:val="126"/>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bookmarkStart w:id="59" w:name="_Toc25839092"/>
      <w:bookmarkStart w:id="60" w:name="_Toc56697869"/>
      <w:bookmarkStart w:id="61" w:name="_Toc48318503"/>
      <w:bookmarkStart w:id="62" w:name="_Toc54537521"/>
      <w:bookmarkStart w:id="63" w:name="_Toc40254137"/>
      <w:bookmarkStart w:id="64" w:name="_Toc36121875"/>
      <w:bookmarkStart w:id="65" w:name="_Toc24638"/>
      <w:bookmarkStart w:id="66" w:name="_Toc488096062"/>
      <w:bookmarkStart w:id="67" w:name="_Toc152045517"/>
      <w:bookmarkStart w:id="68" w:name="_Toc518056693"/>
      <w:bookmarkStart w:id="69" w:name="_Toc22078"/>
      <w:bookmarkStart w:id="70" w:name="_Toc144974485"/>
      <w:bookmarkStart w:id="71" w:name="_Toc257099840"/>
      <w:bookmarkStart w:id="72" w:name="_Toc485370152"/>
      <w:bookmarkStart w:id="73" w:name="_Toc488095951"/>
      <w:bookmarkStart w:id="74" w:name="_Toc485244732"/>
      <w:bookmarkStart w:id="75" w:name="_Toc518056916"/>
      <w:bookmarkStart w:id="76" w:name="_Toc152042293"/>
      <w:bookmarkStart w:id="77" w:name="_Toc179632534"/>
      <w:bookmarkStart w:id="78" w:name="_Toc518056812"/>
      <w:bookmarkStart w:id="79" w:name="_Toc426208579"/>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4.1截止时间：</w:t>
      </w:r>
      <w:r>
        <w:rPr>
          <w:rFonts w:hint="eastAsia" w:ascii="仿宋" w:hAnsi="仿宋" w:eastAsia="仿宋" w:cs="仿宋"/>
          <w:bCs w:val="0"/>
          <w:snapToGrid w:val="0"/>
          <w:color w:val="auto"/>
          <w:kern w:val="21"/>
          <w:sz w:val="28"/>
          <w:szCs w:val="28"/>
          <w:lang w:val="en-US" w:eastAsia="zh-CN" w:bidi="ar-SA"/>
        </w:rPr>
        <w:t>2025年03月31日15时00分</w:t>
      </w: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（北京时间）。</w:t>
      </w:r>
    </w:p>
    <w:p w14:paraId="65CA8481">
      <w:pPr>
        <w:pStyle w:val="126"/>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4.2地点：云南中招招标有限公司会议室（西双版纳州旅游度假区曼弄枫山水林溪铺面7一06）。</w:t>
      </w:r>
    </w:p>
    <w:p w14:paraId="5F9EA625">
      <w:pPr>
        <w:pStyle w:val="126"/>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4.3逾期送达的响应文件，采购人不予受理。</w:t>
      </w:r>
    </w:p>
    <w:bookmarkEnd w:id="59"/>
    <w:bookmarkEnd w:id="60"/>
    <w:bookmarkEnd w:id="61"/>
    <w:bookmarkEnd w:id="62"/>
    <w:bookmarkEnd w:id="63"/>
    <w:bookmarkEnd w:id="64"/>
    <w:p w14:paraId="54C1A587">
      <w:pPr>
        <w:pStyle w:val="126"/>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14:textFill>
            <w14:solidFill>
              <w14:schemeClr w14:val="tx1"/>
            </w14:solidFill>
          </w14:textFill>
        </w:rPr>
      </w:pPr>
      <w:bookmarkStart w:id="80" w:name="_Toc56697871"/>
      <w:bookmarkStart w:id="81" w:name="_Toc36121877"/>
      <w:bookmarkStart w:id="82" w:name="_Toc54537523"/>
      <w:bookmarkStart w:id="83" w:name="_Toc48318505"/>
      <w:bookmarkStart w:id="84" w:name="_Toc40254139"/>
      <w:bookmarkStart w:id="85" w:name="_Toc25839094"/>
      <w:r>
        <w:rPr>
          <w:rFonts w:hint="eastAsia" w:ascii="仿宋" w:hAnsi="仿宋" w:eastAsia="仿宋" w:cs="仿宋"/>
          <w:b/>
          <w:bCs/>
          <w:color w:val="000000" w:themeColor="text1"/>
          <w:sz w:val="28"/>
          <w:szCs w:val="28"/>
          <w:lang w:eastAsia="zh-CN"/>
          <w14:textFill>
            <w14:solidFill>
              <w14:schemeClr w14:val="tx1"/>
            </w14:solidFill>
          </w14:textFill>
        </w:rPr>
        <w:t>五、</w:t>
      </w:r>
      <w:bookmarkEnd w:id="65"/>
      <w:r>
        <w:rPr>
          <w:rFonts w:hint="eastAsia" w:ascii="仿宋" w:hAnsi="仿宋" w:eastAsia="仿宋" w:cs="仿宋"/>
          <w:b/>
          <w:bCs/>
          <w:color w:val="000000" w:themeColor="text1"/>
          <w:sz w:val="28"/>
          <w:szCs w:val="28"/>
          <w:lang w:eastAsia="zh-CN"/>
          <w14:textFill>
            <w14:solidFill>
              <w14:schemeClr w14:val="tx1"/>
            </w14:solidFill>
          </w14:textFill>
        </w:rPr>
        <w:t>磋商时间（即开标时间）和地点</w:t>
      </w:r>
    </w:p>
    <w:p w14:paraId="2AE2AE8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5.1截止时间：2025年03月31日15时00分（北京时间）。</w:t>
      </w:r>
    </w:p>
    <w:p w14:paraId="2345495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5.2地点：云南中招招标有限公司会议室（西双版纳州旅游度假区曼弄枫山水林溪铺面7一06）。</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14:paraId="4E79B922">
      <w:pPr>
        <w:pStyle w:val="126"/>
        <w:keepNext w:val="0"/>
        <w:keepLines w:val="0"/>
        <w:pageBreakBefore w:val="0"/>
        <w:widowControl w:val="0"/>
        <w:numPr>
          <w:ilvl w:val="0"/>
          <w:numId w:val="4"/>
        </w:numPr>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lang w:eastAsia="zh-CN"/>
          <w14:textFill>
            <w14:solidFill>
              <w14:schemeClr w14:val="tx1"/>
            </w14:solidFill>
          </w14:textFill>
        </w:rPr>
      </w:pPr>
      <w:bookmarkStart w:id="86" w:name="_Toc35393635"/>
      <w:bookmarkStart w:id="87" w:name="_Toc35393804"/>
      <w:r>
        <w:rPr>
          <w:rFonts w:hint="eastAsia" w:ascii="仿宋" w:hAnsi="仿宋" w:eastAsia="仿宋" w:cs="仿宋"/>
          <w:b/>
          <w:bCs/>
          <w:color w:val="000000" w:themeColor="text1"/>
          <w:sz w:val="28"/>
          <w:szCs w:val="28"/>
          <w:lang w:eastAsia="zh-CN"/>
          <w14:textFill>
            <w14:solidFill>
              <w14:schemeClr w14:val="tx1"/>
            </w14:solidFill>
          </w14:textFill>
        </w:rPr>
        <w:t>其他补充事宜</w:t>
      </w:r>
      <w:bookmarkEnd w:id="86"/>
      <w:bookmarkEnd w:id="87"/>
    </w:p>
    <w:p w14:paraId="6135849B">
      <w:pPr>
        <w:pStyle w:val="126"/>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bCs w:val="0"/>
          <w:snapToGrid w:val="0"/>
          <w:color w:val="000000" w:themeColor="text1"/>
          <w:kern w:val="21"/>
          <w:sz w:val="28"/>
          <w:szCs w:val="28"/>
          <w:highlight w:val="red"/>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highlight w:val="red"/>
          <w:lang w:val="en-US" w:eastAsia="zh-CN" w:bidi="ar-SA"/>
          <w14:textFill>
            <w14:solidFill>
              <w14:schemeClr w14:val="tx1"/>
            </w14:solidFill>
          </w14:textFill>
        </w:rPr>
        <w:t>6.1.资金来源：地方政府自筹配套。</w:t>
      </w:r>
    </w:p>
    <w:p w14:paraId="4AD7BF44">
      <w:pPr>
        <w:pStyle w:val="126"/>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6.2发布公告的媒介:本次公告在中国招标投标公共服务平台（http://www.cebpubservice.com）和元博网中国采购与招标网大数据平台（https://www.chinabidding.cn）上发布。</w:t>
      </w:r>
    </w:p>
    <w:p w14:paraId="04535289">
      <w:pPr>
        <w:pStyle w:val="126"/>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outlineLvl w:val="1"/>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七、凡对本次采购提出询问，请按以下方式联系</w:t>
      </w:r>
    </w:p>
    <w:bookmarkEnd w:id="54"/>
    <w:bookmarkEnd w:id="55"/>
    <w:bookmarkEnd w:id="56"/>
    <w:bookmarkEnd w:id="57"/>
    <w:bookmarkEnd w:id="58"/>
    <w:p w14:paraId="12A0D82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仿宋" w:hAnsi="仿宋" w:eastAsia="仿宋" w:cs="仿宋"/>
          <w:color w:val="000000" w:themeColor="text1"/>
          <w:sz w:val="28"/>
          <w:szCs w:val="28"/>
          <w:lang w:val="zh-CN" w:eastAsia="zh-CN"/>
          <w14:textFill>
            <w14:solidFill>
              <w14:schemeClr w14:val="tx1"/>
            </w14:solidFill>
          </w14:textFill>
        </w:rPr>
      </w:pPr>
      <w:bookmarkStart w:id="88" w:name="_Toc46924534"/>
      <w:r>
        <w:rPr>
          <w:rFonts w:hint="eastAsia" w:ascii="仿宋" w:hAnsi="仿宋" w:eastAsia="仿宋" w:cs="仿宋"/>
          <w:color w:val="000000" w:themeColor="text1"/>
          <w:sz w:val="28"/>
          <w:szCs w:val="28"/>
          <w:lang w:val="zh-CN" w:eastAsia="zh-CN"/>
          <w14:textFill>
            <w14:solidFill>
              <w14:schemeClr w14:val="tx1"/>
            </w14:solidFill>
          </w14:textFill>
        </w:rPr>
        <w:t>1.采购人信息</w:t>
      </w:r>
    </w:p>
    <w:p w14:paraId="593E6FB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zh-CN" w:eastAsia="zh-CN"/>
          <w14:textFill>
            <w14:solidFill>
              <w14:schemeClr w14:val="tx1"/>
            </w14:solidFill>
          </w14:textFill>
        </w:rPr>
      </w:pPr>
      <w:r>
        <w:rPr>
          <w:rFonts w:hint="eastAsia" w:ascii="仿宋" w:hAnsi="仿宋" w:eastAsia="仿宋" w:cs="仿宋"/>
          <w:color w:val="000000" w:themeColor="text1"/>
          <w:sz w:val="28"/>
          <w:szCs w:val="28"/>
          <w:lang w:val="zh-CN" w:eastAsia="zh-CN"/>
          <w14:textFill>
            <w14:solidFill>
              <w14:schemeClr w14:val="tx1"/>
            </w14:solidFill>
          </w14:textFill>
        </w:rPr>
        <w:t>名</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zh-CN" w:eastAsia="zh-CN"/>
          <w14:textFill>
            <w14:solidFill>
              <w14:schemeClr w14:val="tx1"/>
            </w14:solidFill>
          </w14:textFill>
        </w:rPr>
        <w:t>称：西双版纳傣族自治州生态环境局景洪分局</w:t>
      </w:r>
    </w:p>
    <w:p w14:paraId="458D2F2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zh-CN" w:eastAsia="zh-CN"/>
          <w14:textFill>
            <w14:solidFill>
              <w14:schemeClr w14:val="tx1"/>
            </w14:solidFill>
          </w14:textFill>
        </w:rPr>
      </w:pPr>
      <w:r>
        <w:rPr>
          <w:rFonts w:hint="eastAsia" w:ascii="仿宋" w:hAnsi="仿宋" w:eastAsia="仿宋" w:cs="仿宋"/>
          <w:color w:val="000000" w:themeColor="text1"/>
          <w:sz w:val="28"/>
          <w:szCs w:val="28"/>
          <w:lang w:val="zh-CN" w:eastAsia="zh-CN"/>
          <w14:textFill>
            <w14:solidFill>
              <w14:schemeClr w14:val="tx1"/>
            </w14:solidFill>
          </w14:textFill>
        </w:rPr>
        <w:t>地</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val="zh-CN" w:eastAsia="zh-CN"/>
          <w14:textFill>
            <w14:solidFill>
              <w14:schemeClr w14:val="tx1"/>
            </w14:solidFill>
          </w14:textFill>
        </w:rPr>
        <w:t>址：景洪市纳昆康巷3号</w:t>
      </w:r>
    </w:p>
    <w:p w14:paraId="43D7153A">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000000" w:themeColor="text1"/>
          <w:sz w:val="28"/>
          <w:szCs w:val="28"/>
          <w:lang w:val="zh-CN" w:eastAsia="zh-CN"/>
          <w14:textFill>
            <w14:solidFill>
              <w14:schemeClr w14:val="tx1"/>
            </w14:solidFill>
          </w14:textFill>
        </w:rPr>
      </w:pPr>
      <w:r>
        <w:rPr>
          <w:rFonts w:hint="eastAsia" w:ascii="仿宋" w:hAnsi="仿宋" w:eastAsia="仿宋" w:cs="仿宋"/>
          <w:color w:val="000000" w:themeColor="text1"/>
          <w:sz w:val="28"/>
          <w:szCs w:val="28"/>
          <w:lang w:val="zh-CN" w:eastAsia="zh-CN"/>
          <w14:textFill>
            <w14:solidFill>
              <w14:schemeClr w14:val="tx1"/>
            </w14:solidFill>
          </w14:textFill>
        </w:rPr>
        <w:t>联系方式：陈红西</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lang w:val="zh-CN" w:eastAsia="zh-CN"/>
          <w14:textFill>
            <w14:solidFill>
              <w14:schemeClr w14:val="tx1"/>
            </w14:solidFill>
          </w14:textFill>
        </w:rPr>
        <w:t>0691-2126019</w:t>
      </w:r>
    </w:p>
    <w:p w14:paraId="7C628019">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bookmarkStart w:id="89" w:name="_Toc17368"/>
    </w:p>
    <w:p w14:paraId="1AB5D831">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2.采购代理机构信息</w:t>
      </w:r>
    </w:p>
    <w:p w14:paraId="52027273">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名    称：云南中招招标有限公司</w:t>
      </w:r>
    </w:p>
    <w:p w14:paraId="73B6ADAC">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地    址：西双版纳州旅游度假区曼弄枫山水林溪7—06</w:t>
      </w:r>
    </w:p>
    <w:p w14:paraId="3FA62594">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联系方式：</w:t>
      </w:r>
      <w:bookmarkStart w:id="90" w:name="_Toc28359010"/>
      <w:bookmarkStart w:id="91" w:name="_Toc28359087"/>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欧阳雪/0691-2157799</w:t>
      </w:r>
    </w:p>
    <w:p w14:paraId="56A1A8C4">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p>
    <w:p w14:paraId="35E2CB57">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3.项目联系方式</w:t>
      </w:r>
      <w:bookmarkEnd w:id="90"/>
      <w:bookmarkEnd w:id="91"/>
    </w:p>
    <w:p w14:paraId="52B5151F">
      <w:pPr>
        <w:keepNext/>
        <w:keepLines/>
        <w:pageBreakBefore w:val="0"/>
        <w:widowControl/>
        <w:kinsoku/>
        <w:wordWrap/>
        <w:overflowPunct/>
        <w:topLinePunct w:val="0"/>
        <w:autoSpaceDE/>
        <w:autoSpaceDN/>
        <w:bidi w:val="0"/>
        <w:adjustRightInd/>
        <w:snapToGrid/>
        <w:spacing w:before="0" w:after="0"/>
        <w:ind w:firstLine="560" w:firstLineChars="200"/>
        <w:jc w:val="left"/>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项目联系人：欧阳雪、邹君芳、张雪丽、李庆梅、侯树西、张俊、果磊</w:t>
      </w:r>
    </w:p>
    <w:p w14:paraId="40167694">
      <w:pPr>
        <w:keepNext/>
        <w:keepLines/>
        <w:pageBreakBefore w:val="0"/>
        <w:widowControl/>
        <w:kinsoku/>
        <w:wordWrap/>
        <w:overflowPunct/>
        <w:topLinePunct w:val="0"/>
        <w:autoSpaceDE/>
        <w:autoSpaceDN/>
        <w:bidi w:val="0"/>
        <w:adjustRightInd/>
        <w:snapToGrid/>
        <w:spacing w:before="0" w:after="0"/>
        <w:ind w:firstLine="560" w:firstLineChars="200"/>
        <w:jc w:val="both"/>
        <w:textAlignment w:val="auto"/>
        <w:outlineLvl w:val="9"/>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pP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t>电      话：15752353000/18988193038</w:t>
      </w:r>
      <w:r>
        <w:rPr>
          <w:rFonts w:hint="eastAsia" w:ascii="仿宋" w:hAnsi="仿宋" w:eastAsia="仿宋" w:cs="仿宋"/>
          <w:b w:val="0"/>
          <w:bCs w:val="0"/>
          <w:snapToGrid w:val="0"/>
          <w:color w:val="000000" w:themeColor="text1"/>
          <w:kern w:val="21"/>
          <w:sz w:val="28"/>
          <w:szCs w:val="28"/>
          <w:lang w:val="zh-CN" w:eastAsia="zh-CN" w:bidi="ar-SA"/>
          <w14:textFill>
            <w14:solidFill>
              <w14:schemeClr w14:val="tx1"/>
            </w14:solidFill>
          </w14:textFill>
        </w:rPr>
        <w:br w:type="column"/>
      </w:r>
    </w:p>
    <w:p w14:paraId="419CC1D2">
      <w:pPr>
        <w:pStyle w:val="2"/>
        <w:keepNext/>
        <w:keepLines/>
        <w:pageBreakBefore w:val="0"/>
        <w:widowControl/>
        <w:kinsoku/>
        <w:wordWrap/>
        <w:overflowPunct/>
        <w:topLinePunct w:val="0"/>
        <w:autoSpaceDE/>
        <w:autoSpaceDN/>
        <w:bidi w:val="0"/>
        <w:adjustRightInd/>
        <w:snapToGrid/>
        <w:spacing w:before="0" w:after="0"/>
        <w:ind w:firstLine="562" w:firstLineChars="200"/>
        <w:jc w:val="center"/>
        <w:textAlignment w:val="auto"/>
        <w:rPr>
          <w:rFonts w:hint="eastAsia" w:ascii="仿宋" w:hAnsi="仿宋" w:eastAsia="仿宋" w:cs="仿宋"/>
          <w:color w:val="000000" w:themeColor="text1"/>
          <w:sz w:val="28"/>
          <w:szCs w:val="28"/>
          <w:lang w:val="zh-CN"/>
          <w14:textFill>
            <w14:solidFill>
              <w14:schemeClr w14:val="tx1"/>
            </w14:solidFill>
          </w14:textFill>
        </w:rPr>
      </w:pPr>
      <w:bookmarkStart w:id="92" w:name="_Toc12959"/>
      <w:bookmarkStart w:id="93" w:name="_Toc3539"/>
      <w:r>
        <w:rPr>
          <w:rFonts w:hint="eastAsia" w:ascii="仿宋" w:hAnsi="仿宋" w:eastAsia="仿宋" w:cs="仿宋"/>
          <w:color w:val="000000" w:themeColor="text1"/>
          <w:sz w:val="28"/>
          <w:szCs w:val="28"/>
          <w:lang w:val="zh-CN"/>
          <w14:textFill>
            <w14:solidFill>
              <w14:schemeClr w14:val="tx1"/>
            </w14:solidFill>
          </w14:textFill>
        </w:rPr>
        <w:t>第二章  供应商须知</w:t>
      </w:r>
      <w:bookmarkEnd w:id="88"/>
      <w:bookmarkEnd w:id="89"/>
      <w:bookmarkEnd w:id="92"/>
      <w:bookmarkEnd w:id="93"/>
    </w:p>
    <w:p w14:paraId="3FD25C4C">
      <w:pPr>
        <w:pStyle w:val="3"/>
        <w:spacing w:before="0" w:after="120" w:line="360" w:lineRule="auto"/>
        <w:jc w:val="center"/>
        <w:rPr>
          <w:rFonts w:hint="eastAsia" w:ascii="仿宋" w:hAnsi="仿宋" w:eastAsia="仿宋" w:cs="仿宋"/>
          <w:b/>
          <w:color w:val="000000" w:themeColor="text1"/>
          <w:sz w:val="28"/>
          <w:szCs w:val="28"/>
          <w:lang w:val="en-US"/>
          <w14:textFill>
            <w14:solidFill>
              <w14:schemeClr w14:val="tx1"/>
            </w14:solidFill>
          </w14:textFill>
        </w:rPr>
      </w:pPr>
      <w:bookmarkStart w:id="94" w:name="_Toc7725"/>
      <w:bookmarkStart w:id="95" w:name="_Toc46924535"/>
      <w:r>
        <w:rPr>
          <w:rFonts w:hint="eastAsia" w:ascii="仿宋" w:hAnsi="仿宋" w:eastAsia="仿宋" w:cs="仿宋"/>
          <w:b/>
          <w:color w:val="000000" w:themeColor="text1"/>
          <w:sz w:val="28"/>
          <w:szCs w:val="28"/>
          <w:lang w:val="en-US"/>
          <w14:textFill>
            <w14:solidFill>
              <w14:schemeClr w14:val="tx1"/>
            </w14:solidFill>
          </w14:textFill>
        </w:rPr>
        <w:t>供应商须知前附表</w:t>
      </w:r>
      <w:bookmarkEnd w:id="94"/>
      <w:bookmarkEnd w:id="95"/>
    </w:p>
    <w:tbl>
      <w:tblPr>
        <w:tblStyle w:val="37"/>
        <w:tblW w:w="1005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0"/>
        <w:gridCol w:w="1824"/>
        <w:gridCol w:w="7501"/>
      </w:tblGrid>
      <w:tr w14:paraId="6318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7B9C2462">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824" w:type="dxa"/>
            <w:vAlign w:val="center"/>
          </w:tcPr>
          <w:p w14:paraId="511D51B3">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名称</w:t>
            </w:r>
          </w:p>
        </w:tc>
        <w:tc>
          <w:tcPr>
            <w:tcW w:w="7501" w:type="dxa"/>
            <w:vAlign w:val="center"/>
          </w:tcPr>
          <w:p w14:paraId="6A6F3DC3">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内    容</w:t>
            </w:r>
          </w:p>
        </w:tc>
      </w:tr>
      <w:tr w14:paraId="3970B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549599ED">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96" w:name="_Toc13488"/>
            <w:bookmarkStart w:id="97" w:name="_Toc6340"/>
            <w:r>
              <w:rPr>
                <w:rFonts w:hint="eastAsia" w:ascii="仿宋" w:hAnsi="仿宋" w:eastAsia="仿宋" w:cs="仿宋"/>
                <w:bCs/>
                <w:snapToGrid/>
                <w:color w:val="000000" w:themeColor="text1"/>
                <w:kern w:val="2"/>
                <w:sz w:val="24"/>
                <w:szCs w:val="24"/>
                <w14:textFill>
                  <w14:solidFill>
                    <w14:schemeClr w14:val="tx1"/>
                  </w14:solidFill>
                </w14:textFill>
              </w:rPr>
              <w:t>1.1.2</w:t>
            </w:r>
            <w:bookmarkEnd w:id="96"/>
            <w:bookmarkEnd w:id="97"/>
          </w:p>
        </w:tc>
        <w:tc>
          <w:tcPr>
            <w:tcW w:w="1824" w:type="dxa"/>
            <w:vAlign w:val="center"/>
          </w:tcPr>
          <w:p w14:paraId="25E517B3">
            <w:pPr>
              <w:spacing w:line="360" w:lineRule="auto"/>
              <w:jc w:val="center"/>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0"/>
                <w:sz w:val="24"/>
                <w:szCs w:val="24"/>
                <w:highlight w:val="none"/>
                <w14:textFill>
                  <w14:solidFill>
                    <w14:schemeClr w14:val="tx1"/>
                  </w14:solidFill>
                </w14:textFill>
              </w:rPr>
              <w:t>采购人</w:t>
            </w:r>
          </w:p>
        </w:tc>
        <w:tc>
          <w:tcPr>
            <w:tcW w:w="7501" w:type="dxa"/>
            <w:vAlign w:val="center"/>
          </w:tcPr>
          <w:p w14:paraId="3759CA8A">
            <w:pPr>
              <w:spacing w:line="360" w:lineRule="auto"/>
              <w:outlineLvl w:val="0"/>
              <w:rPr>
                <w:rFonts w:hint="eastAsia" w:ascii="仿宋" w:hAnsi="仿宋" w:eastAsia="仿宋" w:cs="仿宋"/>
                <w:bCs/>
                <w:snapToGrid/>
                <w:color w:val="000000" w:themeColor="text1"/>
                <w:kern w:val="2"/>
                <w:sz w:val="24"/>
                <w:szCs w:val="24"/>
                <w:highlight w:val="none"/>
                <w:lang w:eastAsia="zh-CN"/>
                <w14:textFill>
                  <w14:solidFill>
                    <w14:schemeClr w14:val="tx1"/>
                  </w14:solidFill>
                </w14:textFill>
              </w:rPr>
            </w:pPr>
            <w:bookmarkStart w:id="98" w:name="_Toc12273"/>
            <w:bookmarkStart w:id="99" w:name="_Toc9868"/>
            <w:bookmarkStart w:id="100" w:name="_Toc12117"/>
            <w:r>
              <w:rPr>
                <w:rFonts w:hint="eastAsia" w:ascii="仿宋" w:hAnsi="仿宋" w:eastAsia="仿宋" w:cs="仿宋"/>
                <w:bCs/>
                <w:snapToGrid/>
                <w:color w:val="000000" w:themeColor="text1"/>
                <w:kern w:val="2"/>
                <w:sz w:val="24"/>
                <w:szCs w:val="24"/>
                <w:highlight w:val="none"/>
                <w14:textFill>
                  <w14:solidFill>
                    <w14:schemeClr w14:val="tx1"/>
                  </w14:solidFill>
                </w14:textFill>
              </w:rPr>
              <w:t>采 购 人：</w:t>
            </w:r>
            <w:bookmarkEnd w:id="98"/>
            <w:r>
              <w:rPr>
                <w:rFonts w:hint="eastAsia" w:ascii="仿宋" w:hAnsi="仿宋" w:eastAsia="仿宋" w:cs="仿宋"/>
                <w:bCs/>
                <w:snapToGrid/>
                <w:color w:val="000000" w:themeColor="text1"/>
                <w:kern w:val="2"/>
                <w:sz w:val="24"/>
                <w:szCs w:val="24"/>
                <w:highlight w:val="none"/>
                <w:lang w:eastAsia="zh-CN"/>
                <w14:textFill>
                  <w14:solidFill>
                    <w14:schemeClr w14:val="tx1"/>
                  </w14:solidFill>
                </w14:textFill>
              </w:rPr>
              <w:t>西双版纳傣族自治州生态环境局景洪分局</w:t>
            </w:r>
            <w:bookmarkEnd w:id="99"/>
            <w:bookmarkEnd w:id="100"/>
          </w:p>
          <w:p w14:paraId="620A7C17">
            <w:pPr>
              <w:spacing w:line="360" w:lineRule="auto"/>
              <w:outlineLvl w:val="0"/>
              <w:rPr>
                <w:rFonts w:hint="eastAsia" w:ascii="仿宋" w:hAnsi="仿宋" w:eastAsia="仿宋" w:cs="仿宋"/>
                <w:bCs/>
                <w:snapToGrid/>
                <w:color w:val="000000" w:themeColor="text1"/>
                <w:kern w:val="2"/>
                <w:sz w:val="24"/>
                <w:szCs w:val="24"/>
                <w:highlight w:val="none"/>
                <w14:textFill>
                  <w14:solidFill>
                    <w14:schemeClr w14:val="tx1"/>
                  </w14:solidFill>
                </w14:textFill>
              </w:rPr>
            </w:pPr>
            <w:bookmarkStart w:id="101" w:name="_Toc8273"/>
            <w:bookmarkStart w:id="102" w:name="_Toc27237"/>
            <w:bookmarkStart w:id="103" w:name="_Toc9728"/>
            <w:r>
              <w:rPr>
                <w:rFonts w:hint="eastAsia" w:ascii="仿宋" w:hAnsi="仿宋" w:eastAsia="仿宋" w:cs="仿宋"/>
                <w:bCs/>
                <w:snapToGrid/>
                <w:color w:val="000000" w:themeColor="text1"/>
                <w:kern w:val="2"/>
                <w:sz w:val="24"/>
                <w:szCs w:val="24"/>
                <w:highlight w:val="none"/>
                <w14:textFill>
                  <w14:solidFill>
                    <w14:schemeClr w14:val="tx1"/>
                  </w14:solidFill>
                </w14:textFill>
              </w:rPr>
              <w:t>地    址：</w:t>
            </w:r>
            <w:bookmarkEnd w:id="101"/>
            <w:r>
              <w:rPr>
                <w:rFonts w:hint="eastAsia" w:ascii="仿宋" w:hAnsi="仿宋" w:eastAsia="仿宋" w:cs="仿宋"/>
                <w:bCs/>
                <w:snapToGrid/>
                <w:color w:val="000000" w:themeColor="text1"/>
                <w:kern w:val="2"/>
                <w:sz w:val="24"/>
                <w:szCs w:val="24"/>
                <w:highlight w:val="none"/>
                <w14:textFill>
                  <w14:solidFill>
                    <w14:schemeClr w14:val="tx1"/>
                  </w14:solidFill>
                </w14:textFill>
              </w:rPr>
              <w:t>景洪市纳昆康巷3号</w:t>
            </w:r>
            <w:bookmarkEnd w:id="102"/>
            <w:bookmarkEnd w:id="103"/>
          </w:p>
          <w:p w14:paraId="4FC221F7">
            <w:pPr>
              <w:spacing w:line="360" w:lineRule="auto"/>
              <w:outlineLvl w:val="0"/>
              <w:rPr>
                <w:rFonts w:hint="eastAsia" w:ascii="仿宋" w:hAnsi="仿宋" w:eastAsia="仿宋" w:cs="仿宋"/>
                <w:bCs/>
                <w:snapToGrid/>
                <w:color w:val="000000" w:themeColor="text1"/>
                <w:kern w:val="2"/>
                <w:sz w:val="24"/>
                <w:szCs w:val="24"/>
                <w:highlight w:val="none"/>
                <w:lang w:eastAsia="zh-CN"/>
                <w14:textFill>
                  <w14:solidFill>
                    <w14:schemeClr w14:val="tx1"/>
                  </w14:solidFill>
                </w14:textFill>
              </w:rPr>
            </w:pPr>
            <w:bookmarkStart w:id="104" w:name="_Toc1627"/>
            <w:bookmarkStart w:id="105" w:name="_Toc12540"/>
            <w:bookmarkStart w:id="106" w:name="_Toc3613"/>
            <w:r>
              <w:rPr>
                <w:rFonts w:hint="eastAsia" w:ascii="仿宋" w:hAnsi="仿宋" w:eastAsia="仿宋" w:cs="仿宋"/>
                <w:bCs/>
                <w:snapToGrid/>
                <w:color w:val="000000" w:themeColor="text1"/>
                <w:kern w:val="2"/>
                <w:sz w:val="24"/>
                <w:szCs w:val="24"/>
                <w:highlight w:val="none"/>
                <w14:textFill>
                  <w14:solidFill>
                    <w14:schemeClr w14:val="tx1"/>
                  </w14:solidFill>
                </w14:textFill>
              </w:rPr>
              <w:t>联</w:t>
            </w:r>
            <w:r>
              <w:rPr>
                <w:rFonts w:hint="eastAsia" w:ascii="仿宋" w:hAnsi="仿宋" w:eastAsia="仿宋" w:cs="仿宋"/>
                <w:bCs/>
                <w:snapToGrid/>
                <w:color w:val="000000" w:themeColor="text1"/>
                <w:kern w:val="2"/>
                <w:sz w:val="24"/>
                <w:szCs w:val="24"/>
                <w:highlight w:val="none"/>
                <w:lang w:val="en-US" w:eastAsia="zh-CN"/>
                <w14:textFill>
                  <w14:solidFill>
                    <w14:schemeClr w14:val="tx1"/>
                  </w14:solidFill>
                </w14:textFill>
              </w:rPr>
              <w:t xml:space="preserve"> </w:t>
            </w:r>
            <w:r>
              <w:rPr>
                <w:rFonts w:hint="eastAsia" w:ascii="仿宋" w:hAnsi="仿宋" w:eastAsia="仿宋" w:cs="仿宋"/>
                <w:bCs/>
                <w:snapToGrid/>
                <w:color w:val="000000" w:themeColor="text1"/>
                <w:kern w:val="2"/>
                <w:sz w:val="24"/>
                <w:szCs w:val="24"/>
                <w:highlight w:val="none"/>
                <w14:textFill>
                  <w14:solidFill>
                    <w14:schemeClr w14:val="tx1"/>
                  </w14:solidFill>
                </w14:textFill>
              </w:rPr>
              <w:t>系</w:t>
            </w:r>
            <w:r>
              <w:rPr>
                <w:rFonts w:hint="eastAsia" w:ascii="仿宋" w:hAnsi="仿宋" w:eastAsia="仿宋" w:cs="仿宋"/>
                <w:bCs/>
                <w:snapToGrid/>
                <w:color w:val="000000" w:themeColor="text1"/>
                <w:kern w:val="2"/>
                <w:sz w:val="24"/>
                <w:szCs w:val="24"/>
                <w:highlight w:val="none"/>
                <w:lang w:val="en-US" w:eastAsia="zh-CN"/>
                <w14:textFill>
                  <w14:solidFill>
                    <w14:schemeClr w14:val="tx1"/>
                  </w14:solidFill>
                </w14:textFill>
              </w:rPr>
              <w:t xml:space="preserve"> </w:t>
            </w:r>
            <w:r>
              <w:rPr>
                <w:rFonts w:hint="eastAsia" w:ascii="仿宋" w:hAnsi="仿宋" w:eastAsia="仿宋" w:cs="仿宋"/>
                <w:bCs/>
                <w:snapToGrid/>
                <w:color w:val="000000" w:themeColor="text1"/>
                <w:kern w:val="2"/>
                <w:sz w:val="24"/>
                <w:szCs w:val="24"/>
                <w:highlight w:val="none"/>
                <w14:textFill>
                  <w14:solidFill>
                    <w14:schemeClr w14:val="tx1"/>
                  </w14:solidFill>
                </w14:textFill>
              </w:rPr>
              <w:t>人：</w:t>
            </w:r>
            <w:bookmarkEnd w:id="104"/>
            <w:r>
              <w:rPr>
                <w:rFonts w:hint="eastAsia" w:ascii="仿宋" w:hAnsi="仿宋" w:eastAsia="仿宋" w:cs="仿宋"/>
                <w:bCs/>
                <w:snapToGrid/>
                <w:color w:val="000000" w:themeColor="text1"/>
                <w:kern w:val="2"/>
                <w:sz w:val="24"/>
                <w:szCs w:val="24"/>
                <w:highlight w:val="none"/>
                <w:lang w:val="zh-CN"/>
                <w14:textFill>
                  <w14:solidFill>
                    <w14:schemeClr w14:val="tx1"/>
                  </w14:solidFill>
                </w14:textFill>
              </w:rPr>
              <w:t>陈红西</w:t>
            </w:r>
            <w:bookmarkEnd w:id="105"/>
            <w:bookmarkEnd w:id="106"/>
          </w:p>
          <w:p w14:paraId="05300CE6">
            <w:pPr>
              <w:spacing w:line="360" w:lineRule="auto"/>
              <w:outlineLvl w:val="0"/>
              <w:rPr>
                <w:rFonts w:hint="eastAsia" w:ascii="仿宋" w:hAnsi="仿宋" w:eastAsia="仿宋" w:cs="仿宋"/>
                <w:bCs/>
                <w:snapToGrid/>
                <w:color w:val="000000" w:themeColor="text1"/>
                <w:kern w:val="2"/>
                <w:sz w:val="24"/>
                <w:szCs w:val="24"/>
                <w:highlight w:val="none"/>
                <w14:textFill>
                  <w14:solidFill>
                    <w14:schemeClr w14:val="tx1"/>
                  </w14:solidFill>
                </w14:textFill>
              </w:rPr>
            </w:pPr>
            <w:bookmarkStart w:id="107" w:name="_Toc30251"/>
            <w:bookmarkStart w:id="108" w:name="_Toc28843"/>
            <w:bookmarkStart w:id="109" w:name="_Toc6828"/>
            <w:r>
              <w:rPr>
                <w:rFonts w:hint="eastAsia" w:ascii="仿宋" w:hAnsi="仿宋" w:eastAsia="仿宋" w:cs="仿宋"/>
                <w:bCs/>
                <w:snapToGrid/>
                <w:color w:val="000000" w:themeColor="text1"/>
                <w:kern w:val="2"/>
                <w:sz w:val="24"/>
                <w:szCs w:val="24"/>
                <w:highlight w:val="none"/>
                <w14:textFill>
                  <w14:solidFill>
                    <w14:schemeClr w14:val="tx1"/>
                  </w14:solidFill>
                </w14:textFill>
              </w:rPr>
              <w:t>联系电话：</w:t>
            </w:r>
            <w:bookmarkEnd w:id="107"/>
            <w:r>
              <w:rPr>
                <w:rFonts w:hint="eastAsia" w:ascii="仿宋" w:hAnsi="仿宋" w:eastAsia="仿宋" w:cs="仿宋"/>
                <w:bCs/>
                <w:snapToGrid/>
                <w:color w:val="000000" w:themeColor="text1"/>
                <w:kern w:val="2"/>
                <w:sz w:val="24"/>
                <w:szCs w:val="24"/>
                <w:highlight w:val="none"/>
                <w14:textFill>
                  <w14:solidFill>
                    <w14:schemeClr w14:val="tx1"/>
                  </w14:solidFill>
                </w14:textFill>
              </w:rPr>
              <w:t>0691-2126019</w:t>
            </w:r>
            <w:bookmarkEnd w:id="108"/>
            <w:bookmarkEnd w:id="109"/>
          </w:p>
        </w:tc>
      </w:tr>
      <w:tr w14:paraId="46F9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7" w:hRule="atLeast"/>
        </w:trPr>
        <w:tc>
          <w:tcPr>
            <w:tcW w:w="730" w:type="dxa"/>
            <w:vAlign w:val="center"/>
          </w:tcPr>
          <w:p w14:paraId="1B9AB974">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10" w:name="_Toc2469"/>
            <w:bookmarkStart w:id="111" w:name="_Toc14988"/>
            <w:r>
              <w:rPr>
                <w:rFonts w:hint="eastAsia" w:ascii="仿宋" w:hAnsi="仿宋" w:eastAsia="仿宋" w:cs="仿宋"/>
                <w:bCs/>
                <w:snapToGrid/>
                <w:color w:val="000000" w:themeColor="text1"/>
                <w:kern w:val="2"/>
                <w:sz w:val="24"/>
                <w:szCs w:val="24"/>
                <w14:textFill>
                  <w14:solidFill>
                    <w14:schemeClr w14:val="tx1"/>
                  </w14:solidFill>
                </w14:textFill>
              </w:rPr>
              <w:t>1.1.3</w:t>
            </w:r>
            <w:bookmarkEnd w:id="110"/>
            <w:bookmarkEnd w:id="111"/>
          </w:p>
        </w:tc>
        <w:tc>
          <w:tcPr>
            <w:tcW w:w="1824" w:type="dxa"/>
            <w:vAlign w:val="center"/>
          </w:tcPr>
          <w:p w14:paraId="5BCD3CEA">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采购代理机构</w:t>
            </w:r>
          </w:p>
        </w:tc>
        <w:tc>
          <w:tcPr>
            <w:tcW w:w="7501" w:type="dxa"/>
            <w:vAlign w:val="center"/>
          </w:tcPr>
          <w:p w14:paraId="6D0E6CF3">
            <w:pPr>
              <w:spacing w:line="360" w:lineRule="auto"/>
              <w:outlineLvl w:val="0"/>
              <w:rPr>
                <w:rFonts w:hint="eastAsia" w:ascii="仿宋" w:hAnsi="仿宋" w:eastAsia="仿宋" w:cs="仿宋"/>
                <w:bCs/>
                <w:snapToGrid/>
                <w:color w:val="000000" w:themeColor="text1"/>
                <w:kern w:val="2"/>
                <w:sz w:val="24"/>
                <w:szCs w:val="24"/>
                <w:lang w:eastAsia="zh-CN"/>
                <w14:textFill>
                  <w14:solidFill>
                    <w14:schemeClr w14:val="tx1"/>
                  </w14:solidFill>
                </w14:textFill>
              </w:rPr>
            </w:pPr>
            <w:bookmarkStart w:id="112" w:name="_Toc10913"/>
            <w:bookmarkStart w:id="113" w:name="_Toc14392"/>
            <w:bookmarkStart w:id="114" w:name="_Toc5325"/>
            <w:r>
              <w:rPr>
                <w:rFonts w:hint="eastAsia" w:ascii="仿宋" w:hAnsi="仿宋" w:eastAsia="仿宋" w:cs="仿宋"/>
                <w:bCs/>
                <w:snapToGrid/>
                <w:color w:val="000000" w:themeColor="text1"/>
                <w:kern w:val="2"/>
                <w:sz w:val="24"/>
                <w:szCs w:val="24"/>
                <w14:textFill>
                  <w14:solidFill>
                    <w14:schemeClr w14:val="tx1"/>
                  </w14:solidFill>
                </w14:textFill>
              </w:rPr>
              <w:t>采购代理机构：</w:t>
            </w:r>
            <w:bookmarkEnd w:id="112"/>
            <w:r>
              <w:rPr>
                <w:rFonts w:hint="eastAsia" w:ascii="仿宋" w:hAnsi="仿宋" w:eastAsia="仿宋" w:cs="仿宋"/>
                <w:bCs/>
                <w:snapToGrid/>
                <w:color w:val="000000" w:themeColor="text1"/>
                <w:kern w:val="2"/>
                <w:sz w:val="24"/>
                <w:szCs w:val="24"/>
                <w:lang w:eastAsia="zh-CN"/>
                <w14:textFill>
                  <w14:solidFill>
                    <w14:schemeClr w14:val="tx1"/>
                  </w14:solidFill>
                </w14:textFill>
              </w:rPr>
              <w:t>云南中招招标有限公司</w:t>
            </w:r>
            <w:bookmarkEnd w:id="113"/>
            <w:bookmarkEnd w:id="114"/>
          </w:p>
          <w:p w14:paraId="55E78C75">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15" w:name="_Toc1155"/>
            <w:bookmarkStart w:id="116" w:name="_Toc5769"/>
            <w:bookmarkStart w:id="117" w:name="_Toc23931"/>
            <w:r>
              <w:rPr>
                <w:rFonts w:hint="eastAsia" w:ascii="仿宋" w:hAnsi="仿宋" w:eastAsia="仿宋" w:cs="仿宋"/>
                <w:bCs/>
                <w:snapToGrid/>
                <w:color w:val="000000" w:themeColor="text1"/>
                <w:kern w:val="2"/>
                <w:sz w:val="24"/>
                <w:szCs w:val="24"/>
                <w14:textFill>
                  <w14:solidFill>
                    <w14:schemeClr w14:val="tx1"/>
                  </w14:solidFill>
                </w14:textFill>
              </w:rPr>
              <w:t>地</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 xml:space="preserve">    </w:t>
            </w:r>
            <w:r>
              <w:rPr>
                <w:rFonts w:hint="eastAsia" w:ascii="仿宋" w:hAnsi="仿宋" w:eastAsia="仿宋" w:cs="仿宋"/>
                <w:bCs/>
                <w:snapToGrid/>
                <w:color w:val="000000" w:themeColor="text1"/>
                <w:kern w:val="2"/>
                <w:sz w:val="24"/>
                <w:szCs w:val="24"/>
                <w14:textFill>
                  <w14:solidFill>
                    <w14:schemeClr w14:val="tx1"/>
                  </w14:solidFill>
                </w14:textFill>
              </w:rPr>
              <w:t>址：</w:t>
            </w:r>
            <w:bookmarkEnd w:id="115"/>
            <w:r>
              <w:rPr>
                <w:rFonts w:hint="eastAsia" w:ascii="仿宋" w:hAnsi="仿宋" w:eastAsia="仿宋" w:cs="仿宋"/>
                <w:bCs/>
                <w:snapToGrid/>
                <w:color w:val="000000" w:themeColor="text1"/>
                <w:kern w:val="2"/>
                <w:sz w:val="24"/>
                <w:szCs w:val="24"/>
                <w:lang w:eastAsia="zh-CN"/>
                <w14:textFill>
                  <w14:solidFill>
                    <w14:schemeClr w14:val="tx1"/>
                  </w14:solidFill>
                </w14:textFill>
              </w:rPr>
              <w:t>西双版纳州旅游度假区曼弄枫山水林溪7—06</w:t>
            </w:r>
            <w:bookmarkEnd w:id="116"/>
            <w:bookmarkEnd w:id="117"/>
          </w:p>
          <w:p w14:paraId="7B50919B">
            <w:pPr>
              <w:spacing w:line="360" w:lineRule="auto"/>
              <w:outlineLvl w:val="0"/>
              <w:rPr>
                <w:rFonts w:hint="eastAsia" w:ascii="仿宋" w:hAnsi="仿宋" w:eastAsia="仿宋" w:cs="仿宋"/>
                <w:bCs/>
                <w:snapToGrid/>
                <w:color w:val="000000" w:themeColor="text1"/>
                <w:kern w:val="2"/>
                <w:sz w:val="24"/>
                <w:szCs w:val="24"/>
                <w:lang w:eastAsia="zh-CN"/>
                <w14:textFill>
                  <w14:solidFill>
                    <w14:schemeClr w14:val="tx1"/>
                  </w14:solidFill>
                </w14:textFill>
              </w:rPr>
            </w:pPr>
            <w:bookmarkStart w:id="118" w:name="_Toc18497"/>
            <w:bookmarkStart w:id="119" w:name="_Toc25963"/>
            <w:bookmarkStart w:id="120" w:name="_Toc16977"/>
            <w:r>
              <w:rPr>
                <w:rFonts w:hint="eastAsia" w:ascii="仿宋" w:hAnsi="仿宋" w:eastAsia="仿宋" w:cs="仿宋"/>
                <w:bCs/>
                <w:snapToGrid/>
                <w:color w:val="000000" w:themeColor="text1"/>
                <w:kern w:val="2"/>
                <w:sz w:val="24"/>
                <w:szCs w:val="24"/>
                <w14:textFill>
                  <w14:solidFill>
                    <w14:schemeClr w14:val="tx1"/>
                  </w14:solidFill>
                </w14:textFill>
              </w:rPr>
              <w:t>联</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 xml:space="preserve"> </w:t>
            </w:r>
            <w:r>
              <w:rPr>
                <w:rFonts w:hint="eastAsia" w:ascii="仿宋" w:hAnsi="仿宋" w:eastAsia="仿宋" w:cs="仿宋"/>
                <w:bCs/>
                <w:snapToGrid/>
                <w:color w:val="000000" w:themeColor="text1"/>
                <w:kern w:val="2"/>
                <w:sz w:val="24"/>
                <w:szCs w:val="24"/>
                <w14:textFill>
                  <w14:solidFill>
                    <w14:schemeClr w14:val="tx1"/>
                  </w14:solidFill>
                </w14:textFill>
              </w:rPr>
              <w:t>系</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 xml:space="preserve"> </w:t>
            </w:r>
            <w:r>
              <w:rPr>
                <w:rFonts w:hint="eastAsia" w:ascii="仿宋" w:hAnsi="仿宋" w:eastAsia="仿宋" w:cs="仿宋"/>
                <w:bCs/>
                <w:snapToGrid/>
                <w:color w:val="000000" w:themeColor="text1"/>
                <w:kern w:val="2"/>
                <w:sz w:val="24"/>
                <w:szCs w:val="24"/>
                <w14:textFill>
                  <w14:solidFill>
                    <w14:schemeClr w14:val="tx1"/>
                  </w14:solidFill>
                </w14:textFill>
              </w:rPr>
              <w:t>人：</w:t>
            </w:r>
            <w:bookmarkEnd w:id="118"/>
            <w:r>
              <w:rPr>
                <w:rFonts w:hint="eastAsia" w:ascii="仿宋" w:hAnsi="仿宋" w:eastAsia="仿宋" w:cs="仿宋"/>
                <w:bCs/>
                <w:snapToGrid/>
                <w:color w:val="000000" w:themeColor="text1"/>
                <w:kern w:val="2"/>
                <w:sz w:val="24"/>
                <w:szCs w:val="24"/>
                <w14:textFill>
                  <w14:solidFill>
                    <w14:schemeClr w14:val="tx1"/>
                  </w14:solidFill>
                </w14:textFill>
              </w:rPr>
              <w:t>欧阳雪、邹君芳、张雪丽、李庆梅、侯树西、张俊、果磊</w:t>
            </w:r>
            <w:bookmarkEnd w:id="119"/>
            <w:bookmarkEnd w:id="120"/>
          </w:p>
          <w:p w14:paraId="14AB8A18">
            <w:pPr>
              <w:spacing w:line="360" w:lineRule="auto"/>
              <w:outlineLvl w:val="0"/>
              <w:rPr>
                <w:rFonts w:hint="eastAsia" w:ascii="仿宋" w:hAnsi="仿宋" w:eastAsia="仿宋" w:cs="仿宋"/>
                <w:bCs/>
                <w:snapToGrid/>
                <w:color w:val="000000" w:themeColor="text1"/>
                <w:kern w:val="2"/>
                <w:sz w:val="24"/>
                <w:szCs w:val="24"/>
                <w:lang w:val="en-US"/>
                <w14:textFill>
                  <w14:solidFill>
                    <w14:schemeClr w14:val="tx1"/>
                  </w14:solidFill>
                </w14:textFill>
              </w:rPr>
            </w:pPr>
            <w:bookmarkStart w:id="121" w:name="_Toc9035"/>
            <w:bookmarkStart w:id="122" w:name="_Toc18332"/>
            <w:bookmarkStart w:id="123" w:name="_Toc886"/>
            <w:r>
              <w:rPr>
                <w:rFonts w:hint="eastAsia" w:ascii="仿宋" w:hAnsi="仿宋" w:eastAsia="仿宋" w:cs="仿宋"/>
                <w:bCs/>
                <w:snapToGrid/>
                <w:color w:val="000000" w:themeColor="text1"/>
                <w:kern w:val="2"/>
                <w:sz w:val="24"/>
                <w:szCs w:val="24"/>
                <w14:textFill>
                  <w14:solidFill>
                    <w14:schemeClr w14:val="tx1"/>
                  </w14:solidFill>
                </w14:textFill>
              </w:rPr>
              <w:t>联系电话：</w:t>
            </w:r>
            <w:bookmarkEnd w:id="121"/>
            <w:r>
              <w:rPr>
                <w:rFonts w:hint="eastAsia" w:ascii="仿宋" w:hAnsi="仿宋" w:eastAsia="仿宋" w:cs="仿宋"/>
                <w:b w:val="0"/>
                <w:bCs w:val="0"/>
                <w:snapToGrid w:val="0"/>
                <w:color w:val="000000" w:themeColor="text1"/>
                <w:kern w:val="21"/>
                <w:sz w:val="24"/>
                <w:szCs w:val="24"/>
                <w:lang w:val="zh-CN" w:eastAsia="zh-CN" w:bidi="ar-SA"/>
                <w14:textFill>
                  <w14:solidFill>
                    <w14:schemeClr w14:val="tx1"/>
                  </w14:solidFill>
                </w14:textFill>
              </w:rPr>
              <w:t>15752353000/</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18988193038</w:t>
            </w:r>
            <w:bookmarkEnd w:id="122"/>
            <w:bookmarkEnd w:id="123"/>
          </w:p>
        </w:tc>
      </w:tr>
      <w:tr w14:paraId="4EBBD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730" w:type="dxa"/>
            <w:vAlign w:val="center"/>
          </w:tcPr>
          <w:p w14:paraId="0DB3A18F">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24" w:name="_Toc18241"/>
            <w:bookmarkStart w:id="125" w:name="_Toc13426"/>
            <w:r>
              <w:rPr>
                <w:rFonts w:hint="eastAsia" w:ascii="仿宋" w:hAnsi="仿宋" w:eastAsia="仿宋" w:cs="仿宋"/>
                <w:bCs/>
                <w:snapToGrid/>
                <w:color w:val="000000" w:themeColor="text1"/>
                <w:kern w:val="2"/>
                <w:sz w:val="24"/>
                <w:szCs w:val="24"/>
                <w14:textFill>
                  <w14:solidFill>
                    <w14:schemeClr w14:val="tx1"/>
                  </w14:solidFill>
                </w14:textFill>
              </w:rPr>
              <w:t>1.1.4</w:t>
            </w:r>
            <w:bookmarkEnd w:id="124"/>
            <w:bookmarkEnd w:id="125"/>
          </w:p>
        </w:tc>
        <w:tc>
          <w:tcPr>
            <w:tcW w:w="1824" w:type="dxa"/>
            <w:vAlign w:val="center"/>
          </w:tcPr>
          <w:p w14:paraId="1A11A24D">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项目名称</w:t>
            </w:r>
          </w:p>
        </w:tc>
        <w:tc>
          <w:tcPr>
            <w:tcW w:w="7501" w:type="dxa"/>
            <w:vAlign w:val="center"/>
          </w:tcPr>
          <w:p w14:paraId="40697FEE">
            <w:pPr>
              <w:spacing w:line="360" w:lineRule="auto"/>
              <w:outlineLvl w:val="0"/>
              <w:rPr>
                <w:rFonts w:hint="eastAsia" w:ascii="仿宋" w:hAnsi="仿宋" w:eastAsia="仿宋" w:cs="仿宋"/>
                <w:bCs/>
                <w:snapToGrid/>
                <w:color w:val="000000" w:themeColor="text1"/>
                <w:kern w:val="2"/>
                <w:sz w:val="24"/>
                <w:szCs w:val="24"/>
                <w:lang w:eastAsia="zh-CN"/>
                <w14:textFill>
                  <w14:solidFill>
                    <w14:schemeClr w14:val="tx1"/>
                  </w14:solidFill>
                </w14:textFill>
              </w:rPr>
            </w:pPr>
            <w:bookmarkStart w:id="126" w:name="_Toc16024"/>
            <w:bookmarkStart w:id="127" w:name="_Toc22769"/>
            <w:bookmarkStart w:id="128" w:name="_Toc4111"/>
            <w:r>
              <w:rPr>
                <w:rFonts w:hint="eastAsia" w:ascii="仿宋" w:hAnsi="仿宋" w:eastAsia="仿宋" w:cs="仿宋"/>
                <w:color w:val="000000" w:themeColor="text1"/>
                <w:sz w:val="24"/>
                <w:szCs w:val="24"/>
                <w:lang w:eastAsia="zh-CN"/>
                <w14:textFill>
                  <w14:solidFill>
                    <w14:schemeClr w14:val="tx1"/>
                  </w14:solidFill>
                </w14:textFill>
              </w:rPr>
              <w:t>国家重点生态功能区景洪市南昆河流域农村生活污水治理工程监理服务</w:t>
            </w:r>
            <w:bookmarkEnd w:id="126"/>
            <w:bookmarkEnd w:id="127"/>
            <w:bookmarkEnd w:id="128"/>
          </w:p>
        </w:tc>
      </w:tr>
      <w:tr w14:paraId="45ED4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730" w:type="dxa"/>
            <w:vAlign w:val="center"/>
          </w:tcPr>
          <w:p w14:paraId="19131044">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29" w:name="_Toc29814"/>
            <w:bookmarkStart w:id="130" w:name="_Toc19849"/>
            <w:r>
              <w:rPr>
                <w:rFonts w:hint="eastAsia" w:ascii="仿宋" w:hAnsi="仿宋" w:eastAsia="仿宋" w:cs="仿宋"/>
                <w:bCs/>
                <w:snapToGrid/>
                <w:color w:val="000000" w:themeColor="text1"/>
                <w:kern w:val="2"/>
                <w:sz w:val="24"/>
                <w:szCs w:val="24"/>
                <w14:textFill>
                  <w14:solidFill>
                    <w14:schemeClr w14:val="tx1"/>
                  </w14:solidFill>
                </w14:textFill>
              </w:rPr>
              <w:t>1.1.5</w:t>
            </w:r>
            <w:bookmarkEnd w:id="129"/>
            <w:bookmarkEnd w:id="130"/>
          </w:p>
        </w:tc>
        <w:tc>
          <w:tcPr>
            <w:tcW w:w="1824" w:type="dxa"/>
            <w:vAlign w:val="center"/>
          </w:tcPr>
          <w:p w14:paraId="18A2F44B">
            <w:pPr>
              <w:spacing w:line="360" w:lineRule="auto"/>
              <w:jc w:val="center"/>
              <w:outlineLvl w:val="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项目编号</w:t>
            </w:r>
          </w:p>
        </w:tc>
        <w:tc>
          <w:tcPr>
            <w:tcW w:w="7501" w:type="dxa"/>
            <w:vAlign w:val="center"/>
          </w:tcPr>
          <w:p w14:paraId="1C345D9E">
            <w:pPr>
              <w:spacing w:line="360" w:lineRule="auto"/>
              <w:jc w:val="both"/>
              <w:outlineLvl w:val="0"/>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YNZZBN202503-08</w:t>
            </w:r>
          </w:p>
        </w:tc>
      </w:tr>
      <w:tr w14:paraId="6D07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730" w:type="dxa"/>
            <w:vAlign w:val="center"/>
          </w:tcPr>
          <w:p w14:paraId="61E88BC2">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31" w:name="_Toc26836"/>
            <w:bookmarkStart w:id="132" w:name="_Toc19066"/>
            <w:r>
              <w:rPr>
                <w:rFonts w:hint="eastAsia" w:ascii="仿宋" w:hAnsi="仿宋" w:eastAsia="仿宋" w:cs="仿宋"/>
                <w:bCs/>
                <w:snapToGrid/>
                <w:color w:val="000000" w:themeColor="text1"/>
                <w:kern w:val="2"/>
                <w:sz w:val="24"/>
                <w:szCs w:val="24"/>
                <w14:textFill>
                  <w14:solidFill>
                    <w14:schemeClr w14:val="tx1"/>
                  </w14:solidFill>
                </w14:textFill>
              </w:rPr>
              <w:t>1.1.6</w:t>
            </w:r>
            <w:bookmarkEnd w:id="131"/>
            <w:bookmarkEnd w:id="132"/>
          </w:p>
        </w:tc>
        <w:tc>
          <w:tcPr>
            <w:tcW w:w="1824" w:type="dxa"/>
            <w:shd w:val="clear" w:color="auto" w:fill="auto"/>
            <w:vAlign w:val="center"/>
          </w:tcPr>
          <w:p w14:paraId="0A98C6B0">
            <w:pPr>
              <w:spacing w:line="360" w:lineRule="auto"/>
              <w:jc w:val="center"/>
              <w:rPr>
                <w:rFonts w:hint="eastAsia" w:ascii="仿宋" w:hAnsi="仿宋" w:eastAsia="仿宋" w:cs="仿宋"/>
                <w:snapToGrid w:val="0"/>
                <w:kern w:val="21"/>
                <w:sz w:val="24"/>
                <w:szCs w:val="24"/>
                <w:lang w:val="en-US" w:eastAsia="zh-CN" w:bidi="ar-SA"/>
              </w:rPr>
            </w:pPr>
            <w:r>
              <w:rPr>
                <w:rFonts w:hint="eastAsia" w:ascii="仿宋" w:hAnsi="仿宋" w:eastAsia="仿宋" w:cs="仿宋"/>
                <w:sz w:val="24"/>
                <w:szCs w:val="24"/>
              </w:rPr>
              <w:t>预算金额</w:t>
            </w:r>
          </w:p>
        </w:tc>
        <w:tc>
          <w:tcPr>
            <w:tcW w:w="7501" w:type="dxa"/>
            <w:shd w:val="clear" w:color="auto" w:fill="auto"/>
            <w:vAlign w:val="center"/>
          </w:tcPr>
          <w:p w14:paraId="4EABE3EC">
            <w:pPr>
              <w:spacing w:line="360" w:lineRule="auto"/>
              <w:outlineLvl w:val="0"/>
              <w:rPr>
                <w:rFonts w:hint="eastAsia" w:ascii="仿宋" w:hAnsi="仿宋" w:eastAsia="仿宋" w:cs="仿宋"/>
                <w:bCs/>
                <w:snapToGrid/>
                <w:kern w:val="2"/>
                <w:sz w:val="24"/>
                <w:szCs w:val="24"/>
                <w:lang w:val="en-US" w:eastAsia="zh-CN" w:bidi="ar-SA"/>
              </w:rPr>
            </w:pPr>
            <w:bookmarkStart w:id="133" w:name="_Toc136"/>
            <w:bookmarkStart w:id="134" w:name="_Toc19685"/>
            <w:r>
              <w:rPr>
                <w:rFonts w:hint="eastAsia" w:ascii="仿宋" w:hAnsi="仿宋" w:eastAsia="仿宋" w:cs="仿宋"/>
                <w:snapToGrid/>
                <w:color w:val="000000" w:themeColor="text1"/>
                <w:sz w:val="24"/>
                <w:szCs w:val="24"/>
                <w:highlight w:val="none"/>
                <w:lang w:val="zh-CN"/>
                <w14:textFill>
                  <w14:solidFill>
                    <w14:schemeClr w14:val="tx1"/>
                  </w14:solidFill>
                </w14:textFill>
              </w:rPr>
              <w:t>¥400000</w:t>
            </w:r>
            <w:r>
              <w:rPr>
                <w:rFonts w:hint="eastAsia" w:ascii="仿宋" w:hAnsi="仿宋" w:eastAsia="仿宋" w:cs="仿宋"/>
                <w:snapToGrid/>
                <w:color w:val="000000" w:themeColor="text1"/>
                <w:sz w:val="24"/>
                <w:szCs w:val="24"/>
                <w:highlight w:val="none"/>
                <w:lang w:val="en-US" w:eastAsia="zh-CN"/>
                <w14:textFill>
                  <w14:solidFill>
                    <w14:schemeClr w14:val="tx1"/>
                  </w14:solidFill>
                </w14:textFill>
              </w:rPr>
              <w:t>.00</w:t>
            </w:r>
            <w:r>
              <w:rPr>
                <w:rFonts w:hint="eastAsia" w:ascii="仿宋" w:hAnsi="仿宋" w:eastAsia="仿宋" w:cs="仿宋"/>
                <w:snapToGrid/>
                <w:color w:val="000000" w:themeColor="text1"/>
                <w:sz w:val="24"/>
                <w:szCs w:val="24"/>
                <w:highlight w:val="none"/>
                <w:lang w:val="zh-CN"/>
                <w14:textFill>
                  <w14:solidFill>
                    <w14:schemeClr w14:val="tx1"/>
                  </w14:solidFill>
                </w14:textFill>
              </w:rPr>
              <w:t>元（人民币肆拾万元整）</w:t>
            </w:r>
            <w:bookmarkEnd w:id="133"/>
            <w:bookmarkEnd w:id="134"/>
          </w:p>
        </w:tc>
      </w:tr>
      <w:tr w14:paraId="0DF9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4C7E452F">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35" w:name="_Toc6441"/>
            <w:bookmarkStart w:id="136" w:name="_Toc23398"/>
            <w:r>
              <w:rPr>
                <w:rFonts w:hint="eastAsia" w:ascii="仿宋" w:hAnsi="仿宋" w:eastAsia="仿宋" w:cs="仿宋"/>
                <w:bCs/>
                <w:snapToGrid/>
                <w:color w:val="000000" w:themeColor="text1"/>
                <w:kern w:val="2"/>
                <w:sz w:val="24"/>
                <w:szCs w:val="24"/>
                <w14:textFill>
                  <w14:solidFill>
                    <w14:schemeClr w14:val="tx1"/>
                  </w14:solidFill>
                </w14:textFill>
              </w:rPr>
              <w:t>1.1.7</w:t>
            </w:r>
            <w:bookmarkEnd w:id="135"/>
            <w:bookmarkEnd w:id="136"/>
          </w:p>
        </w:tc>
        <w:tc>
          <w:tcPr>
            <w:tcW w:w="1824" w:type="dxa"/>
            <w:vAlign w:val="center"/>
          </w:tcPr>
          <w:p w14:paraId="41D3924A">
            <w:pPr>
              <w:spacing w:line="360" w:lineRule="auto"/>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最高限价</w:t>
            </w:r>
          </w:p>
        </w:tc>
        <w:tc>
          <w:tcPr>
            <w:tcW w:w="7501" w:type="dxa"/>
            <w:vAlign w:val="center"/>
          </w:tcPr>
          <w:p w14:paraId="23A69200">
            <w:pPr>
              <w:spacing w:line="360" w:lineRule="auto"/>
              <w:outlineLvl w:val="0"/>
              <w:rPr>
                <w:rFonts w:hint="eastAsia" w:ascii="仿宋" w:hAnsi="仿宋" w:eastAsia="仿宋" w:cs="仿宋"/>
                <w:bCs/>
                <w:snapToGrid/>
                <w:kern w:val="2"/>
                <w:sz w:val="24"/>
                <w:szCs w:val="24"/>
              </w:rPr>
            </w:pPr>
            <w:bookmarkStart w:id="137" w:name="_Toc17722"/>
            <w:bookmarkStart w:id="138" w:name="_Toc6804"/>
            <w:r>
              <w:rPr>
                <w:rFonts w:hint="eastAsia" w:ascii="仿宋" w:hAnsi="仿宋" w:eastAsia="仿宋" w:cs="仿宋"/>
                <w:snapToGrid/>
                <w:color w:val="000000" w:themeColor="text1"/>
                <w:sz w:val="24"/>
                <w:szCs w:val="24"/>
                <w:highlight w:val="none"/>
                <w:lang w:val="zh-CN"/>
                <w14:textFill>
                  <w14:solidFill>
                    <w14:schemeClr w14:val="tx1"/>
                  </w14:solidFill>
                </w14:textFill>
              </w:rPr>
              <w:t>¥400000</w:t>
            </w:r>
            <w:r>
              <w:rPr>
                <w:rFonts w:hint="eastAsia" w:ascii="仿宋" w:hAnsi="仿宋" w:eastAsia="仿宋" w:cs="仿宋"/>
                <w:snapToGrid/>
                <w:color w:val="000000" w:themeColor="text1"/>
                <w:sz w:val="24"/>
                <w:szCs w:val="24"/>
                <w:highlight w:val="none"/>
                <w:lang w:val="en-US" w:eastAsia="zh-CN"/>
                <w14:textFill>
                  <w14:solidFill>
                    <w14:schemeClr w14:val="tx1"/>
                  </w14:solidFill>
                </w14:textFill>
              </w:rPr>
              <w:t>.00</w:t>
            </w:r>
            <w:r>
              <w:rPr>
                <w:rFonts w:hint="eastAsia" w:ascii="仿宋" w:hAnsi="仿宋" w:eastAsia="仿宋" w:cs="仿宋"/>
                <w:snapToGrid/>
                <w:color w:val="000000" w:themeColor="text1"/>
                <w:sz w:val="24"/>
                <w:szCs w:val="24"/>
                <w:highlight w:val="none"/>
                <w:lang w:val="zh-CN"/>
                <w14:textFill>
                  <w14:solidFill>
                    <w14:schemeClr w14:val="tx1"/>
                  </w14:solidFill>
                </w14:textFill>
              </w:rPr>
              <w:t>元（人民币肆拾万元整）</w:t>
            </w:r>
            <w:bookmarkEnd w:id="137"/>
            <w:bookmarkEnd w:id="138"/>
          </w:p>
        </w:tc>
      </w:tr>
      <w:tr w14:paraId="24FFD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6789E43C">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39" w:name="_Toc344"/>
            <w:bookmarkStart w:id="140" w:name="_Toc14181"/>
            <w:r>
              <w:rPr>
                <w:rFonts w:hint="eastAsia" w:ascii="仿宋" w:hAnsi="仿宋" w:eastAsia="仿宋" w:cs="仿宋"/>
                <w:bCs/>
                <w:snapToGrid/>
                <w:color w:val="000000" w:themeColor="text1"/>
                <w:kern w:val="2"/>
                <w:sz w:val="24"/>
                <w:szCs w:val="24"/>
                <w14:textFill>
                  <w14:solidFill>
                    <w14:schemeClr w14:val="tx1"/>
                  </w14:solidFill>
                </w14:textFill>
              </w:rPr>
              <w:t>1.1.8</w:t>
            </w:r>
            <w:bookmarkEnd w:id="139"/>
            <w:bookmarkEnd w:id="140"/>
          </w:p>
        </w:tc>
        <w:tc>
          <w:tcPr>
            <w:tcW w:w="1824" w:type="dxa"/>
            <w:vAlign w:val="center"/>
          </w:tcPr>
          <w:p w14:paraId="38856C82">
            <w:pPr>
              <w:autoSpaceDE w:val="0"/>
              <w:autoSpaceDN w:val="0"/>
              <w:adjustRightInd w:val="0"/>
              <w:spacing w:line="360" w:lineRule="auto"/>
              <w:jc w:val="center"/>
              <w:rPr>
                <w:rFonts w:hint="eastAsia" w:ascii="仿宋" w:hAnsi="仿宋" w:eastAsia="仿宋" w:cs="仿宋"/>
                <w:color w:val="000000" w:themeColor="text1"/>
                <w:sz w:val="24"/>
                <w:szCs w:val="24"/>
                <w:highlight w:val="red"/>
                <w:lang w:eastAsia="zh-CN"/>
                <w14:textFill>
                  <w14:solidFill>
                    <w14:schemeClr w14:val="tx1"/>
                  </w14:solidFill>
                </w14:textFill>
              </w:rPr>
            </w:pPr>
            <w:r>
              <w:rPr>
                <w:rFonts w:hint="eastAsia" w:ascii="仿宋" w:hAnsi="仿宋" w:eastAsia="仿宋" w:cs="仿宋"/>
                <w:color w:val="000000" w:themeColor="text1"/>
                <w:sz w:val="24"/>
                <w:szCs w:val="24"/>
                <w:highlight w:val="red"/>
                <w:lang w:eastAsia="zh-CN"/>
                <w14:textFill>
                  <w14:solidFill>
                    <w14:schemeClr w14:val="tx1"/>
                  </w14:solidFill>
                </w14:textFill>
              </w:rPr>
              <w:t>资金来源</w:t>
            </w:r>
          </w:p>
        </w:tc>
        <w:tc>
          <w:tcPr>
            <w:tcW w:w="7501" w:type="dxa"/>
            <w:vAlign w:val="center"/>
          </w:tcPr>
          <w:p w14:paraId="63D28B6A">
            <w:pPr>
              <w:spacing w:line="360" w:lineRule="auto"/>
              <w:outlineLvl w:val="0"/>
              <w:rPr>
                <w:rFonts w:hint="eastAsia" w:ascii="仿宋" w:hAnsi="仿宋" w:eastAsia="仿宋" w:cs="仿宋"/>
                <w:bCs/>
                <w:snapToGrid/>
                <w:color w:val="000000" w:themeColor="text1"/>
                <w:kern w:val="2"/>
                <w:sz w:val="24"/>
                <w:szCs w:val="24"/>
                <w:highlight w:val="red"/>
                <w:lang w:eastAsia="zh-CN"/>
                <w14:textFill>
                  <w14:solidFill>
                    <w14:schemeClr w14:val="tx1"/>
                  </w14:solidFill>
                </w14:textFill>
              </w:rPr>
            </w:pPr>
            <w:r>
              <w:rPr>
                <w:rFonts w:hint="eastAsia" w:ascii="仿宋" w:hAnsi="仿宋" w:eastAsia="仿宋" w:cs="仿宋"/>
                <w:bCs/>
                <w:snapToGrid/>
                <w:color w:val="000000" w:themeColor="text1"/>
                <w:kern w:val="2"/>
                <w:sz w:val="24"/>
                <w:szCs w:val="24"/>
                <w:highlight w:val="red"/>
                <w:lang w:eastAsia="zh-CN"/>
                <w14:textFill>
                  <w14:solidFill>
                    <w14:schemeClr w14:val="tx1"/>
                  </w14:solidFill>
                </w14:textFill>
              </w:rPr>
              <w:t>地方政府自筹配套</w:t>
            </w:r>
          </w:p>
        </w:tc>
      </w:tr>
      <w:tr w14:paraId="5CCE5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730" w:type="dxa"/>
            <w:vAlign w:val="center"/>
          </w:tcPr>
          <w:p w14:paraId="1B28FC29">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41" w:name="_Toc9649"/>
            <w:bookmarkStart w:id="142" w:name="_Toc26546"/>
            <w:r>
              <w:rPr>
                <w:rFonts w:hint="eastAsia" w:ascii="仿宋" w:hAnsi="仿宋" w:eastAsia="仿宋" w:cs="仿宋"/>
                <w:bCs/>
                <w:snapToGrid/>
                <w:color w:val="000000" w:themeColor="text1"/>
                <w:kern w:val="2"/>
                <w:sz w:val="24"/>
                <w:szCs w:val="24"/>
                <w14:textFill>
                  <w14:solidFill>
                    <w14:schemeClr w14:val="tx1"/>
                  </w14:solidFill>
                </w14:textFill>
              </w:rPr>
              <w:t>1.1.9</w:t>
            </w:r>
            <w:bookmarkEnd w:id="141"/>
            <w:bookmarkEnd w:id="142"/>
          </w:p>
        </w:tc>
        <w:tc>
          <w:tcPr>
            <w:tcW w:w="1824" w:type="dxa"/>
            <w:shd w:val="clear" w:color="auto" w:fill="auto"/>
            <w:vAlign w:val="center"/>
          </w:tcPr>
          <w:p w14:paraId="27EE501C">
            <w:pPr>
              <w:autoSpaceDE w:val="0"/>
              <w:autoSpaceDN w:val="0"/>
              <w:adjustRightInd w:val="0"/>
              <w:spacing w:line="360" w:lineRule="auto"/>
              <w:jc w:val="center"/>
              <w:rPr>
                <w:rFonts w:hint="eastAsia" w:ascii="仿宋" w:hAnsi="仿宋" w:eastAsia="仿宋" w:cs="仿宋"/>
                <w:snapToGrid w:val="0"/>
                <w:color w:val="000000" w:themeColor="text1"/>
                <w:kern w:val="21"/>
                <w:sz w:val="24"/>
                <w:szCs w:val="24"/>
                <w:lang w:val="en-US" w:eastAsia="zh-CN" w:bidi="ar-SA"/>
                <w14:textFill>
                  <w14:solidFill>
                    <w14:schemeClr w14:val="tx1"/>
                  </w14:solidFill>
                </w14:textFill>
              </w:rPr>
            </w:pPr>
            <w:r>
              <w:rPr>
                <w:rFonts w:hint="eastAsia" w:ascii="仿宋" w:hAnsi="仿宋" w:eastAsia="仿宋" w:cs="仿宋"/>
                <w:snapToGrid w:val="0"/>
                <w:color w:val="000000" w:themeColor="text1"/>
                <w:kern w:val="21"/>
                <w:sz w:val="24"/>
                <w:szCs w:val="24"/>
                <w:lang w:val="en-US" w:eastAsia="zh-CN" w:bidi="ar-SA"/>
                <w14:textFill>
                  <w14:solidFill>
                    <w14:schemeClr w14:val="tx1"/>
                  </w14:solidFill>
                </w14:textFill>
              </w:rPr>
              <w:t>采购方式</w:t>
            </w:r>
          </w:p>
        </w:tc>
        <w:tc>
          <w:tcPr>
            <w:tcW w:w="7501" w:type="dxa"/>
            <w:shd w:val="clear" w:color="auto" w:fill="auto"/>
            <w:vAlign w:val="center"/>
          </w:tcPr>
          <w:p w14:paraId="38A7495B">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143" w:name="_Toc7136"/>
            <w:bookmarkStart w:id="144" w:name="_Toc17089"/>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竞争性磋商</w:t>
            </w:r>
            <w:bookmarkEnd w:id="143"/>
            <w:bookmarkEnd w:id="144"/>
          </w:p>
        </w:tc>
      </w:tr>
      <w:tr w14:paraId="04411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794949CB">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45" w:name="_Toc28181"/>
            <w:bookmarkStart w:id="146" w:name="_Toc10178"/>
            <w:r>
              <w:rPr>
                <w:rFonts w:hint="eastAsia" w:ascii="仿宋" w:hAnsi="仿宋" w:eastAsia="仿宋" w:cs="仿宋"/>
                <w:bCs/>
                <w:snapToGrid/>
                <w:color w:val="000000" w:themeColor="text1"/>
                <w:kern w:val="2"/>
                <w:sz w:val="24"/>
                <w:szCs w:val="24"/>
                <w14:textFill>
                  <w14:solidFill>
                    <w14:schemeClr w14:val="tx1"/>
                  </w14:solidFill>
                </w14:textFill>
              </w:rPr>
              <w:t>1.1.10</w:t>
            </w:r>
            <w:bookmarkEnd w:id="145"/>
            <w:bookmarkEnd w:id="146"/>
          </w:p>
        </w:tc>
        <w:tc>
          <w:tcPr>
            <w:tcW w:w="1824" w:type="dxa"/>
            <w:shd w:val="clear" w:color="auto" w:fill="auto"/>
            <w:vAlign w:val="center"/>
          </w:tcPr>
          <w:p w14:paraId="478A3B8B">
            <w:pPr>
              <w:autoSpaceDE w:val="0"/>
              <w:autoSpaceDN w:val="0"/>
              <w:adjustRightInd w:val="0"/>
              <w:spacing w:line="360" w:lineRule="auto"/>
              <w:jc w:val="center"/>
              <w:rPr>
                <w:rFonts w:hint="eastAsia" w:ascii="仿宋" w:hAnsi="仿宋" w:eastAsia="仿宋" w:cs="仿宋"/>
                <w:snapToGrid w:val="0"/>
                <w:color w:val="000000" w:themeColor="text1"/>
                <w:kern w:val="21"/>
                <w:sz w:val="24"/>
                <w:szCs w:val="24"/>
                <w:highlight w:val="red"/>
                <w:lang w:val="en-US" w:eastAsia="zh-CN" w:bidi="ar-SA"/>
                <w14:textFill>
                  <w14:solidFill>
                    <w14:schemeClr w14:val="tx1"/>
                  </w14:solidFill>
                </w14:textFill>
              </w:rPr>
            </w:pPr>
            <w:r>
              <w:rPr>
                <w:rFonts w:hint="eastAsia" w:ascii="仿宋" w:hAnsi="仿宋" w:eastAsia="仿宋" w:cs="仿宋"/>
                <w:color w:val="000000" w:themeColor="text1"/>
                <w:sz w:val="24"/>
                <w:szCs w:val="24"/>
                <w:highlight w:val="red"/>
                <w:lang w:eastAsia="zh-CN"/>
                <w14:textFill>
                  <w14:solidFill>
                    <w14:schemeClr w14:val="tx1"/>
                  </w14:solidFill>
                </w14:textFill>
              </w:rPr>
              <w:t>服务</w:t>
            </w:r>
            <w:r>
              <w:rPr>
                <w:rFonts w:hint="eastAsia" w:ascii="仿宋" w:hAnsi="仿宋" w:eastAsia="仿宋" w:cs="仿宋"/>
                <w:color w:val="000000" w:themeColor="text1"/>
                <w:sz w:val="24"/>
                <w:szCs w:val="24"/>
                <w:highlight w:val="red"/>
                <w14:textFill>
                  <w14:solidFill>
                    <w14:schemeClr w14:val="tx1"/>
                  </w14:solidFill>
                </w14:textFill>
              </w:rPr>
              <w:t>需求</w:t>
            </w:r>
          </w:p>
        </w:tc>
        <w:tc>
          <w:tcPr>
            <w:tcW w:w="7501" w:type="dxa"/>
            <w:shd w:val="clear" w:color="auto" w:fill="auto"/>
            <w:vAlign w:val="center"/>
          </w:tcPr>
          <w:p w14:paraId="4C521363">
            <w:pPr>
              <w:spacing w:line="360" w:lineRule="auto"/>
              <w:outlineLvl w:val="0"/>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pPr>
            <w:bookmarkStart w:id="147" w:name="_Toc26411"/>
            <w:bookmarkStart w:id="148" w:name="_Toc31839"/>
            <w:r>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t>对国家重点生态功能区景洪市南昆河流域农村生活污水治理工程进行全过程监理，完成本项目建设施工及保修期全过程监理服务工作，包括建设工程委托监理合同范围内的工程施工质量、进度、投资控制，安全文明施工管理、合同管理、资料管理，组织协调（三控三管一协调）等的全面监理工作。</w:t>
            </w:r>
            <w:bookmarkEnd w:id="147"/>
            <w:bookmarkEnd w:id="148"/>
          </w:p>
        </w:tc>
      </w:tr>
      <w:tr w14:paraId="0A615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182E0F94">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49" w:name="_Toc14584"/>
            <w:bookmarkStart w:id="150" w:name="_Toc2843"/>
            <w:r>
              <w:rPr>
                <w:rFonts w:hint="eastAsia" w:ascii="仿宋" w:hAnsi="仿宋" w:eastAsia="仿宋" w:cs="仿宋"/>
                <w:bCs/>
                <w:snapToGrid/>
                <w:color w:val="000000" w:themeColor="text1"/>
                <w:kern w:val="2"/>
                <w:sz w:val="24"/>
                <w:szCs w:val="24"/>
                <w14:textFill>
                  <w14:solidFill>
                    <w14:schemeClr w14:val="tx1"/>
                  </w14:solidFill>
                </w14:textFill>
              </w:rPr>
              <w:t>1.1.11</w:t>
            </w:r>
            <w:bookmarkEnd w:id="149"/>
            <w:bookmarkEnd w:id="150"/>
          </w:p>
        </w:tc>
        <w:tc>
          <w:tcPr>
            <w:tcW w:w="1824" w:type="dxa"/>
            <w:shd w:val="clear" w:color="auto" w:fill="auto"/>
            <w:vAlign w:val="center"/>
          </w:tcPr>
          <w:p w14:paraId="7291DCAB">
            <w:pPr>
              <w:autoSpaceDE w:val="0"/>
              <w:autoSpaceDN w:val="0"/>
              <w:adjustRightInd w:val="0"/>
              <w:spacing w:line="360" w:lineRule="auto"/>
              <w:jc w:val="center"/>
              <w:rPr>
                <w:rFonts w:hint="eastAsia" w:ascii="仿宋" w:hAnsi="仿宋" w:eastAsia="仿宋" w:cs="仿宋"/>
                <w:snapToGrid w:val="0"/>
                <w:color w:val="000000" w:themeColor="text1"/>
                <w:kern w:val="21"/>
                <w:sz w:val="24"/>
                <w:szCs w:val="24"/>
                <w:highlight w:val="red"/>
                <w:lang w:val="en-US" w:eastAsia="zh-CN" w:bidi="ar-SA"/>
                <w14:textFill>
                  <w14:solidFill>
                    <w14:schemeClr w14:val="tx1"/>
                  </w14:solidFill>
                </w14:textFill>
              </w:rPr>
            </w:pPr>
            <w:r>
              <w:rPr>
                <w:rFonts w:hint="eastAsia" w:ascii="仿宋" w:hAnsi="仿宋" w:eastAsia="仿宋" w:cs="仿宋"/>
                <w:color w:val="000000" w:themeColor="text1"/>
                <w:sz w:val="24"/>
                <w:szCs w:val="24"/>
                <w:highlight w:val="red"/>
                <w14:textFill>
                  <w14:solidFill>
                    <w14:schemeClr w14:val="tx1"/>
                  </w14:solidFill>
                </w14:textFill>
              </w:rPr>
              <w:t>服务地点</w:t>
            </w:r>
          </w:p>
        </w:tc>
        <w:tc>
          <w:tcPr>
            <w:tcW w:w="7501" w:type="dxa"/>
            <w:shd w:val="clear" w:color="auto" w:fill="auto"/>
            <w:vAlign w:val="center"/>
          </w:tcPr>
          <w:p w14:paraId="10C9DE4B">
            <w:pPr>
              <w:spacing w:line="360" w:lineRule="auto"/>
              <w:outlineLvl w:val="0"/>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pPr>
            <w:bookmarkStart w:id="151" w:name="_Toc13022"/>
            <w:bookmarkStart w:id="152" w:name="_Toc10193"/>
            <w:r>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t>西双版纳州景洪市景讷乡、西双版纳州景洪市大渡岗乡。</w:t>
            </w:r>
            <w:bookmarkEnd w:id="151"/>
            <w:bookmarkEnd w:id="152"/>
          </w:p>
        </w:tc>
      </w:tr>
      <w:tr w14:paraId="18A4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0E84338D">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53" w:name="_Toc4765"/>
            <w:bookmarkStart w:id="154" w:name="_Toc7223"/>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1.1.12</w:t>
            </w:r>
            <w:bookmarkEnd w:id="153"/>
            <w:bookmarkEnd w:id="154"/>
          </w:p>
        </w:tc>
        <w:tc>
          <w:tcPr>
            <w:tcW w:w="1824" w:type="dxa"/>
            <w:shd w:val="clear" w:color="auto" w:fill="auto"/>
            <w:vAlign w:val="center"/>
          </w:tcPr>
          <w:p w14:paraId="0343EAE2">
            <w:pPr>
              <w:autoSpaceDE w:val="0"/>
              <w:autoSpaceDN w:val="0"/>
              <w:adjustRightInd w:val="0"/>
              <w:spacing w:line="360" w:lineRule="auto"/>
              <w:ind w:left="5" w:leftChars="-15" w:hanging="36" w:hangingChars="15"/>
              <w:jc w:val="center"/>
              <w:rPr>
                <w:rFonts w:hint="eastAsia" w:ascii="仿宋" w:hAnsi="仿宋" w:eastAsia="仿宋" w:cs="仿宋"/>
                <w:snapToGrid w:val="0"/>
                <w:color w:val="000000" w:themeColor="text1"/>
                <w:kern w:val="21"/>
                <w:sz w:val="24"/>
                <w:szCs w:val="24"/>
                <w:highlight w:val="red"/>
                <w:lang w:val="en-US" w:eastAsia="zh-CN" w:bidi="ar-SA"/>
                <w14:textFill>
                  <w14:solidFill>
                    <w14:schemeClr w14:val="tx1"/>
                  </w14:solidFill>
                </w14:textFill>
              </w:rPr>
            </w:pPr>
            <w:r>
              <w:rPr>
                <w:rFonts w:hint="eastAsia" w:ascii="仿宋" w:hAnsi="仿宋" w:eastAsia="仿宋" w:cs="仿宋"/>
                <w:color w:val="000000" w:themeColor="text1"/>
                <w:sz w:val="24"/>
                <w:szCs w:val="24"/>
                <w:highlight w:val="red"/>
                <w:lang w:eastAsia="zh-CN"/>
                <w14:textFill>
                  <w14:solidFill>
                    <w14:schemeClr w14:val="tx1"/>
                  </w14:solidFill>
                </w14:textFill>
              </w:rPr>
              <w:t>服务期限</w:t>
            </w:r>
          </w:p>
        </w:tc>
        <w:tc>
          <w:tcPr>
            <w:tcW w:w="7501" w:type="dxa"/>
            <w:shd w:val="clear" w:color="auto" w:fill="auto"/>
            <w:vAlign w:val="center"/>
          </w:tcPr>
          <w:p w14:paraId="508829A2">
            <w:pPr>
              <w:spacing w:line="360" w:lineRule="auto"/>
              <w:outlineLvl w:val="0"/>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pPr>
            <w:bookmarkStart w:id="155" w:name="_Toc29475"/>
            <w:bookmarkStart w:id="156" w:name="_Toc13689"/>
            <w:r>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t>监理服务期为开工准备期至竣工验收交付使用后的保修阶段止。</w:t>
            </w:r>
            <w:bookmarkEnd w:id="155"/>
            <w:bookmarkEnd w:id="156"/>
          </w:p>
        </w:tc>
      </w:tr>
      <w:tr w14:paraId="607F8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730" w:type="dxa"/>
            <w:shd w:val="clear" w:color="auto" w:fill="auto"/>
            <w:vAlign w:val="center"/>
          </w:tcPr>
          <w:p w14:paraId="53DF7590">
            <w:pPr>
              <w:spacing w:line="360" w:lineRule="auto"/>
              <w:jc w:val="both"/>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57" w:name="_Toc28941"/>
            <w:bookmarkStart w:id="158" w:name="_Toc11574"/>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1.1.13</w:t>
            </w:r>
            <w:bookmarkEnd w:id="157"/>
            <w:bookmarkEnd w:id="158"/>
          </w:p>
        </w:tc>
        <w:tc>
          <w:tcPr>
            <w:tcW w:w="1824" w:type="dxa"/>
            <w:shd w:val="clear" w:color="auto" w:fill="auto"/>
            <w:vAlign w:val="center"/>
          </w:tcPr>
          <w:p w14:paraId="6359F0BB">
            <w:pPr>
              <w:autoSpaceDE w:val="0"/>
              <w:autoSpaceDN w:val="0"/>
              <w:adjustRightInd w:val="0"/>
              <w:spacing w:line="360" w:lineRule="auto"/>
              <w:ind w:left="5" w:leftChars="-15" w:hanging="36" w:hangingChars="15"/>
              <w:jc w:val="center"/>
              <w:rPr>
                <w:rFonts w:hint="eastAsia" w:ascii="仿宋" w:hAnsi="仿宋" w:eastAsia="仿宋" w:cs="仿宋"/>
                <w:snapToGrid w:val="0"/>
                <w:color w:val="000000" w:themeColor="text1"/>
                <w:kern w:val="21"/>
                <w:sz w:val="24"/>
                <w:szCs w:val="24"/>
                <w:highlight w:val="red"/>
                <w:lang w:val="en-US" w:eastAsia="zh-CN" w:bidi="ar-SA"/>
                <w14:textFill>
                  <w14:solidFill>
                    <w14:schemeClr w14:val="tx1"/>
                  </w14:solidFill>
                </w14:textFill>
              </w:rPr>
            </w:pPr>
            <w:r>
              <w:rPr>
                <w:rFonts w:hint="eastAsia" w:ascii="仿宋" w:hAnsi="仿宋" w:eastAsia="仿宋" w:cs="仿宋"/>
                <w:color w:val="000000" w:themeColor="text1"/>
                <w:sz w:val="24"/>
                <w:szCs w:val="24"/>
                <w:highlight w:val="red"/>
                <w14:textFill>
                  <w14:solidFill>
                    <w14:schemeClr w14:val="tx1"/>
                  </w14:solidFill>
                </w14:textFill>
              </w:rPr>
              <w:t>质量要求</w:t>
            </w:r>
          </w:p>
        </w:tc>
        <w:tc>
          <w:tcPr>
            <w:tcW w:w="7501" w:type="dxa"/>
            <w:shd w:val="clear" w:color="auto" w:fill="auto"/>
            <w:vAlign w:val="center"/>
          </w:tcPr>
          <w:p w14:paraId="34FABDB4">
            <w:pPr>
              <w:spacing w:line="360" w:lineRule="auto"/>
              <w:outlineLvl w:val="0"/>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pPr>
            <w:bookmarkStart w:id="159" w:name="_Toc21128"/>
            <w:bookmarkStart w:id="160" w:name="_Toc28900"/>
            <w:r>
              <w:rPr>
                <w:rFonts w:hint="eastAsia" w:ascii="仿宋" w:hAnsi="仿宋" w:eastAsia="仿宋" w:cs="仿宋"/>
                <w:bCs/>
                <w:snapToGrid/>
                <w:color w:val="000000" w:themeColor="text1"/>
                <w:kern w:val="2"/>
                <w:sz w:val="24"/>
                <w:szCs w:val="24"/>
                <w:highlight w:val="red"/>
                <w:lang w:val="en-US" w:eastAsia="zh-CN" w:bidi="ar-SA"/>
                <w14:textFill>
                  <w14:solidFill>
                    <w14:schemeClr w14:val="tx1"/>
                  </w14:solidFill>
                </w14:textFill>
              </w:rPr>
              <w:t>符合国家标准及行业现行相关标准规范和招标人要求。</w:t>
            </w:r>
            <w:bookmarkEnd w:id="159"/>
            <w:bookmarkEnd w:id="160"/>
          </w:p>
        </w:tc>
      </w:tr>
      <w:tr w14:paraId="6B6F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193FFB69">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61" w:name="_Toc12130"/>
            <w:bookmarkStart w:id="162" w:name="_Toc1242"/>
            <w:r>
              <w:rPr>
                <w:rFonts w:hint="eastAsia" w:ascii="仿宋" w:hAnsi="仿宋" w:eastAsia="仿宋" w:cs="仿宋"/>
                <w:color w:val="auto"/>
                <w:sz w:val="24"/>
                <w:szCs w:val="24"/>
                <w:highlight w:val="none"/>
              </w:rPr>
              <w:t>1.2</w:t>
            </w:r>
            <w:bookmarkEnd w:id="161"/>
            <w:bookmarkEnd w:id="162"/>
          </w:p>
        </w:tc>
        <w:tc>
          <w:tcPr>
            <w:tcW w:w="1824" w:type="dxa"/>
            <w:vAlign w:val="center"/>
          </w:tcPr>
          <w:p w14:paraId="75414612">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供应商资格要求</w:t>
            </w:r>
          </w:p>
        </w:tc>
        <w:tc>
          <w:tcPr>
            <w:tcW w:w="7501" w:type="dxa"/>
            <w:vAlign w:val="center"/>
          </w:tcPr>
          <w:p w14:paraId="4D7C1B9C">
            <w:pPr>
              <w:spacing w:line="360" w:lineRule="auto"/>
              <w:outlineLvl w:val="0"/>
              <w:rPr>
                <w:rFonts w:hint="eastAsia" w:ascii="仿宋" w:hAnsi="仿宋" w:eastAsia="仿宋" w:cs="仿宋"/>
                <w:b/>
                <w:bCs w:val="0"/>
                <w:snapToGrid/>
                <w:color w:val="000000" w:themeColor="text1"/>
                <w:kern w:val="2"/>
                <w:sz w:val="24"/>
                <w:szCs w:val="24"/>
                <w14:textFill>
                  <w14:solidFill>
                    <w14:schemeClr w14:val="tx1"/>
                  </w14:solidFill>
                </w14:textFill>
              </w:rPr>
            </w:pPr>
            <w:bookmarkStart w:id="163" w:name="_Toc6946"/>
            <w:bookmarkStart w:id="164" w:name="_Toc19945"/>
            <w:r>
              <w:rPr>
                <w:rFonts w:hint="eastAsia" w:ascii="仿宋" w:hAnsi="仿宋" w:eastAsia="仿宋" w:cs="仿宋"/>
                <w:b/>
                <w:bCs w:val="0"/>
                <w:snapToGrid/>
                <w:color w:val="000000" w:themeColor="text1"/>
                <w:kern w:val="2"/>
                <w:sz w:val="24"/>
                <w:szCs w:val="24"/>
                <w14:textFill>
                  <w14:solidFill>
                    <w14:schemeClr w14:val="tx1"/>
                  </w14:solidFill>
                </w14:textFill>
              </w:rPr>
              <w:t>1.满足《中华人民共和国政府采购法》第二十二条规定：</w:t>
            </w:r>
            <w:bookmarkEnd w:id="163"/>
            <w:bookmarkEnd w:id="164"/>
          </w:p>
          <w:p w14:paraId="0DCFEE43">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65" w:name="_Toc15898"/>
            <w:bookmarkStart w:id="166" w:name="_Toc32364"/>
            <w:r>
              <w:rPr>
                <w:rFonts w:hint="eastAsia" w:ascii="仿宋" w:hAnsi="仿宋" w:eastAsia="仿宋" w:cs="仿宋"/>
                <w:bCs/>
                <w:snapToGrid/>
                <w:color w:val="000000" w:themeColor="text1"/>
                <w:kern w:val="2"/>
                <w:sz w:val="24"/>
                <w:szCs w:val="24"/>
                <w14:textFill>
                  <w14:solidFill>
                    <w14:schemeClr w14:val="tx1"/>
                  </w14:solidFill>
                </w14:textFill>
              </w:rPr>
              <w:t>1.1供应商须具有独立承担民事责任的能力：提供法人或者其他组织有效的营业执照等证明文件；</w:t>
            </w:r>
            <w:bookmarkEnd w:id="165"/>
            <w:bookmarkEnd w:id="166"/>
          </w:p>
          <w:p w14:paraId="339B36B2">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67" w:name="_Toc6302"/>
            <w:bookmarkStart w:id="168" w:name="_Toc15580"/>
            <w:r>
              <w:rPr>
                <w:rFonts w:hint="eastAsia" w:ascii="仿宋" w:hAnsi="仿宋" w:eastAsia="仿宋" w:cs="仿宋"/>
                <w:bCs/>
                <w:snapToGrid/>
                <w:color w:val="000000" w:themeColor="text1"/>
                <w:kern w:val="2"/>
                <w:sz w:val="24"/>
                <w:szCs w:val="24"/>
                <w14:textFill>
                  <w14:solidFill>
                    <w14:schemeClr w14:val="tx1"/>
                  </w14:solidFill>
                </w14:textFill>
              </w:rPr>
              <w:t>1.2具有良好的商业信誉和健全的财务会计制度：提供2023年度经第三方审计机构审计的财务状况报告，包括资产负债表、利润表（损益表）、现金流量表及其附注（新成立公司不足 1年的可提供自成立之日起任意2个月的财务报表包括资产负债表、利润表(损益表)、现金流量表，不足 2 个月的，需做出说明）或是基本开户银行出具的资信证明（资信证明出具时间应为本项目开始时间后）或是财政部门认可政府采购专业担保机构出具的投标担保函；</w:t>
            </w:r>
            <w:bookmarkEnd w:id="167"/>
            <w:bookmarkEnd w:id="168"/>
          </w:p>
          <w:p w14:paraId="253AF9CC">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69" w:name="_Toc5828"/>
            <w:bookmarkStart w:id="170" w:name="_Toc32321"/>
            <w:r>
              <w:rPr>
                <w:rFonts w:hint="eastAsia" w:ascii="仿宋" w:hAnsi="仿宋" w:eastAsia="仿宋" w:cs="仿宋"/>
                <w:bCs/>
                <w:snapToGrid/>
                <w:color w:val="000000" w:themeColor="text1"/>
                <w:kern w:val="2"/>
                <w:sz w:val="24"/>
                <w:szCs w:val="24"/>
                <w14:textFill>
                  <w14:solidFill>
                    <w14:schemeClr w14:val="tx1"/>
                  </w14:solidFill>
                </w14:textFill>
              </w:rPr>
              <w:t>1.3具有履行合同所必需的设备和专业技术能力：提供相关证明材料或承诺书；</w:t>
            </w:r>
            <w:bookmarkEnd w:id="169"/>
            <w:bookmarkEnd w:id="170"/>
          </w:p>
          <w:p w14:paraId="23365CA5">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71" w:name="_Toc11089"/>
            <w:bookmarkStart w:id="172" w:name="_Toc15876"/>
            <w:r>
              <w:rPr>
                <w:rFonts w:hint="eastAsia" w:ascii="仿宋" w:hAnsi="仿宋" w:eastAsia="仿宋" w:cs="仿宋"/>
                <w:bCs/>
                <w:snapToGrid/>
                <w:color w:val="000000" w:themeColor="text1"/>
                <w:kern w:val="2"/>
                <w:sz w:val="24"/>
                <w:szCs w:val="24"/>
                <w14:textFill>
                  <w14:solidFill>
                    <w14:schemeClr w14:val="tx1"/>
                  </w14:solidFill>
                </w14:textFill>
              </w:rPr>
              <w:t>1.4具有依法缴纳税收和社会保险的良好记录：①提供参加本次磋商活动前段时间（2024年06月至今）任意2个月依法缴纳税收(税收是指增值税或营业税或企业所得税)的凭据；如在参加本次磋商活动前段时间上税为零，提供该段时间税收为零的《增值税或营业税或企业所得税等税款申报表》或《增值税或营业税或企业所得税等税款网上办税受理通知单》；依法免税的供应商，提供相应的免税文件证明资料；若为新成立的公司应作出说明；②参加本次磋商活动前段时间（2024年06月至今）任意2个月依法缴纳社会保险（社会保险是指养老保险、工伤保险、医疗保险和失业保险）的凭据或专用收据或社会保险缴纳清单或其他有效证明材料；依法不需要缴纳社会保险的供应商，应提供相应文件证明其依法不需要缴纳社会保险；若为新成立的公司应作出说明；</w:t>
            </w:r>
            <w:bookmarkEnd w:id="171"/>
            <w:bookmarkEnd w:id="172"/>
          </w:p>
          <w:p w14:paraId="52E0C016">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73" w:name="_Toc31768"/>
            <w:bookmarkStart w:id="174" w:name="_Toc8482"/>
            <w:r>
              <w:rPr>
                <w:rFonts w:hint="eastAsia" w:ascii="仿宋" w:hAnsi="仿宋" w:eastAsia="仿宋" w:cs="仿宋"/>
                <w:bCs/>
                <w:snapToGrid/>
                <w:color w:val="000000" w:themeColor="text1"/>
                <w:kern w:val="2"/>
                <w:sz w:val="24"/>
                <w:szCs w:val="24"/>
                <w14:textFill>
                  <w14:solidFill>
                    <w14:schemeClr w14:val="tx1"/>
                  </w14:solidFill>
                </w14:textFill>
              </w:rPr>
              <w:t>1.5参加政府采购活动前三年内，在经营活动中没有重大违法记录（重大违法记录，是指供应商因违法经营受到刑事处罚或者责令停产停业、吊销许可证或者执照、较大数额罚款等行政处罚），提供参加本次政府采购活动前三年内的经营活动中没有重大违法记录的书面声明；</w:t>
            </w:r>
            <w:bookmarkEnd w:id="173"/>
            <w:bookmarkEnd w:id="174"/>
          </w:p>
          <w:p w14:paraId="3419B006">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75" w:name="_Toc28211"/>
            <w:bookmarkStart w:id="176" w:name="_Toc17398"/>
            <w:r>
              <w:rPr>
                <w:rFonts w:hint="eastAsia" w:ascii="仿宋" w:hAnsi="仿宋" w:eastAsia="仿宋" w:cs="仿宋"/>
                <w:bCs/>
                <w:snapToGrid/>
                <w:color w:val="000000" w:themeColor="text1"/>
                <w:kern w:val="2"/>
                <w:sz w:val="24"/>
                <w:szCs w:val="24"/>
                <w14:textFill>
                  <w14:solidFill>
                    <w14:schemeClr w14:val="tx1"/>
                  </w14:solidFill>
                </w14:textFill>
              </w:rPr>
              <w:t>1.6供应商未被列入“信用中国”网站（www.creditchina.gov.cn）失信被执行人、重大税收违法案件当事人名单、“中国政府采购网”（www.ccgp.gov.cn）政府采购严重违法失信行为信息记录名单（查询结果以采购人、采购代理机构查询结果为准，采购人或采购代理机构将在响应文件提交截止时间后查询上述网站信用信息，查询结果作为证据留存）。</w:t>
            </w:r>
            <w:bookmarkEnd w:id="175"/>
            <w:bookmarkEnd w:id="176"/>
          </w:p>
          <w:p w14:paraId="2856550A">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77" w:name="_Toc26003"/>
            <w:bookmarkStart w:id="178" w:name="_Toc12947"/>
            <w:r>
              <w:rPr>
                <w:rFonts w:hint="eastAsia" w:ascii="仿宋" w:hAnsi="仿宋" w:eastAsia="仿宋" w:cs="仿宋"/>
                <w:b/>
                <w:bCs w:val="0"/>
                <w:snapToGrid/>
                <w:color w:val="000000" w:themeColor="text1"/>
                <w:kern w:val="2"/>
                <w:sz w:val="24"/>
                <w:szCs w:val="24"/>
                <w14:textFill>
                  <w14:solidFill>
                    <w14:schemeClr w14:val="tx1"/>
                  </w14:solidFill>
                </w14:textFill>
              </w:rPr>
              <w:t>2.落实政府采购政策需满足的资格要求：</w:t>
            </w:r>
            <w:r>
              <w:rPr>
                <w:rFonts w:hint="eastAsia" w:ascii="仿宋" w:hAnsi="仿宋" w:eastAsia="仿宋" w:cs="仿宋"/>
                <w:bCs/>
                <w:snapToGrid/>
                <w:color w:val="000000" w:themeColor="text1"/>
                <w:kern w:val="2"/>
                <w:sz w:val="24"/>
                <w:szCs w:val="24"/>
                <w14:textFill>
                  <w14:solidFill>
                    <w14:schemeClr w14:val="tx1"/>
                  </w14:solidFill>
                </w14:textFill>
              </w:rPr>
              <w:t>根据《政府采购促进中小企业发展管理办法》（财库﹝2020﹞46 号）、《财政部印发通知 进一步加大政府采购支持中小企业力度》(财库〔2022〕19号)、《关于印发中小企业划型标准规定的通知》（工信部联企业〔2011〕300 号）、《财政部 司法部关于政府采购支持监狱企业发展有关问题的通知》 (财库 〔2014〕68 号)、《关于促进残疾人就业政府采购政策的通知》（财库〔2017〕 141 号）、《国务院关于进一步促进中小企业发展的若干意见》（国发〔2009〕36 号）和《云南省财政厅关于促进政府采购公平竞争优化营商环境的实施意见》（云财规〔2019〕5 号）等文件精神，本项目对小微企业的价格给予10%的扣除，扣除后的价格参与报价部分评审。小微企业应当出具《中小企业声明函》，否则不享受价格扣除优惠政策。监狱企业、残疾人福利性单位视同小微企业，监狱企业、残疾人福利性单位应当出具相关证明材料，否则不享受价格扣除优惠政策。供应商提供监狱企业、残疾人福利性单位相关证明材料和中小企业声明函内容不实的，属于提供虚假材料谋取中标，将依照《中华人民共和国政府采购法》等国家有关规定追究相应责任；</w:t>
            </w:r>
            <w:bookmarkEnd w:id="177"/>
            <w:bookmarkEnd w:id="178"/>
          </w:p>
          <w:p w14:paraId="62A52D09">
            <w:pPr>
              <w:spacing w:line="360" w:lineRule="auto"/>
              <w:outlineLvl w:val="0"/>
              <w:rPr>
                <w:rFonts w:hint="eastAsia" w:ascii="仿宋" w:hAnsi="仿宋" w:eastAsia="仿宋" w:cs="仿宋"/>
                <w:b/>
                <w:bCs w:val="0"/>
                <w:snapToGrid/>
                <w:color w:val="000000" w:themeColor="text1"/>
                <w:kern w:val="2"/>
                <w:sz w:val="24"/>
                <w:szCs w:val="24"/>
                <w14:textFill>
                  <w14:solidFill>
                    <w14:schemeClr w14:val="tx1"/>
                  </w14:solidFill>
                </w14:textFill>
              </w:rPr>
            </w:pPr>
            <w:bookmarkStart w:id="179" w:name="_Toc30117"/>
            <w:bookmarkStart w:id="180" w:name="_Toc24142"/>
            <w:r>
              <w:rPr>
                <w:rFonts w:hint="eastAsia" w:ascii="仿宋" w:hAnsi="仿宋" w:eastAsia="仿宋" w:cs="仿宋"/>
                <w:b/>
                <w:bCs w:val="0"/>
                <w:snapToGrid/>
                <w:color w:val="000000" w:themeColor="text1"/>
                <w:kern w:val="2"/>
                <w:sz w:val="24"/>
                <w:szCs w:val="24"/>
                <w14:textFill>
                  <w14:solidFill>
                    <w14:schemeClr w14:val="tx1"/>
                  </w14:solidFill>
                </w14:textFill>
              </w:rPr>
              <w:t>3.本项目的特定资格要求：</w:t>
            </w:r>
            <w:bookmarkEnd w:id="179"/>
            <w:bookmarkEnd w:id="180"/>
          </w:p>
          <w:p w14:paraId="4834E7FD">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81" w:name="_Toc799"/>
            <w:bookmarkStart w:id="182" w:name="_Toc16313"/>
            <w:r>
              <w:rPr>
                <w:rFonts w:hint="eastAsia" w:ascii="仿宋" w:hAnsi="仿宋" w:eastAsia="仿宋" w:cs="仿宋"/>
                <w:bCs/>
                <w:snapToGrid/>
                <w:color w:val="000000" w:themeColor="text1"/>
                <w:kern w:val="2"/>
                <w:sz w:val="24"/>
                <w:szCs w:val="24"/>
                <w14:textFill>
                  <w14:solidFill>
                    <w14:schemeClr w14:val="tx1"/>
                  </w14:solidFill>
                </w14:textFill>
              </w:rPr>
              <w:t>3.1供应商须具备独立法人资格，并须具备有效的建设行政主管部门颁发的工程监理综合资质或市政公用工程专业乙级（含乙级）以上资质，并在人员、设施设备等方面具有相应的监理能力。</w:t>
            </w:r>
            <w:bookmarkEnd w:id="181"/>
            <w:bookmarkEnd w:id="182"/>
          </w:p>
          <w:p w14:paraId="35A6ECB3">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83" w:name="_Toc3150"/>
            <w:bookmarkStart w:id="184" w:name="_Toc16406"/>
            <w:r>
              <w:rPr>
                <w:rFonts w:hint="eastAsia" w:ascii="仿宋" w:hAnsi="仿宋" w:eastAsia="仿宋" w:cs="仿宋"/>
                <w:bCs/>
                <w:snapToGrid/>
                <w:color w:val="000000" w:themeColor="text1"/>
                <w:kern w:val="2"/>
                <w:sz w:val="24"/>
                <w:szCs w:val="24"/>
                <w14:textFill>
                  <w14:solidFill>
                    <w14:schemeClr w14:val="tx1"/>
                  </w14:solidFill>
                </w14:textFill>
              </w:rPr>
              <w:t>3.2总监理工程师的资格要求：拟派的总监理工程师必须持有国家注册监理工程师注册证书（市政公用工程专业）。并注册在投标单位（提供劳动合同</w:t>
            </w:r>
            <w:r>
              <w:rPr>
                <w:rFonts w:hint="eastAsia" w:ascii="仿宋" w:hAnsi="仿宋" w:eastAsia="仿宋" w:cs="仿宋"/>
                <w:bCs/>
                <w:snapToGrid/>
                <w:color w:val="000000" w:themeColor="text1"/>
                <w:kern w:val="2"/>
                <w:sz w:val="24"/>
                <w:szCs w:val="24"/>
                <w:lang w:eastAsia="zh-CN"/>
                <w14:textFill>
                  <w14:solidFill>
                    <w14:schemeClr w14:val="tx1"/>
                  </w14:solidFill>
                </w14:textFill>
              </w:rPr>
              <w:t>或其他合法</w:t>
            </w:r>
            <w:r>
              <w:rPr>
                <w:rFonts w:hint="eastAsia" w:ascii="仿宋" w:hAnsi="仿宋" w:eastAsia="仿宋" w:cs="仿宋"/>
                <w:bCs/>
                <w:snapToGrid/>
                <w:color w:val="000000" w:themeColor="text1"/>
                <w:kern w:val="2"/>
                <w:sz w:val="24"/>
                <w:szCs w:val="24"/>
                <w14:textFill>
                  <w14:solidFill>
                    <w14:schemeClr w14:val="tx1"/>
                  </w14:solidFill>
                </w14:textFill>
              </w:rPr>
              <w:t>证明材料），且具备中级工程师及以上职称。</w:t>
            </w:r>
            <w:bookmarkEnd w:id="183"/>
            <w:bookmarkEnd w:id="184"/>
          </w:p>
        </w:tc>
      </w:tr>
      <w:tr w14:paraId="44EF1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23D9C370">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85" w:name="_Toc31444"/>
            <w:bookmarkStart w:id="186" w:name="_Toc31456"/>
            <w:r>
              <w:rPr>
                <w:rFonts w:hint="eastAsia" w:ascii="仿宋" w:hAnsi="仿宋" w:eastAsia="仿宋" w:cs="仿宋"/>
                <w:color w:val="auto"/>
                <w:sz w:val="24"/>
                <w:szCs w:val="24"/>
                <w:highlight w:val="none"/>
              </w:rPr>
              <w:t>1.3</w:t>
            </w:r>
            <w:r>
              <w:rPr>
                <w:rFonts w:hint="eastAsia" w:ascii="仿宋" w:hAnsi="仿宋" w:eastAsia="仿宋" w:cs="仿宋"/>
                <w:color w:val="auto"/>
                <w:sz w:val="24"/>
                <w:szCs w:val="24"/>
                <w:highlight w:val="none"/>
                <w:lang w:val="en-US" w:eastAsia="zh-CN"/>
              </w:rPr>
              <w:t>.2</w:t>
            </w:r>
            <w:bookmarkEnd w:id="185"/>
            <w:bookmarkEnd w:id="186"/>
          </w:p>
        </w:tc>
        <w:tc>
          <w:tcPr>
            <w:tcW w:w="1824" w:type="dxa"/>
            <w:vAlign w:val="center"/>
          </w:tcPr>
          <w:p w14:paraId="5340B219">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代理服务费</w:t>
            </w:r>
          </w:p>
        </w:tc>
        <w:tc>
          <w:tcPr>
            <w:tcW w:w="7501" w:type="dxa"/>
            <w:vAlign w:val="center"/>
          </w:tcPr>
          <w:p w14:paraId="3C4F5D5A">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87" w:name="_Toc20637"/>
            <w:bookmarkStart w:id="188" w:name="_Toc23053"/>
            <w:r>
              <w:rPr>
                <w:rFonts w:hint="eastAsia" w:ascii="仿宋" w:hAnsi="仿宋" w:eastAsia="仿宋" w:cs="仿宋"/>
                <w:bCs/>
                <w:snapToGrid/>
                <w:color w:val="000000" w:themeColor="text1"/>
                <w:kern w:val="2"/>
                <w:sz w:val="24"/>
                <w:szCs w:val="24"/>
                <w:lang w:val="zh-CN"/>
                <w14:textFill>
                  <w14:solidFill>
                    <w14:schemeClr w14:val="tx1"/>
                  </w14:solidFill>
                </w14:textFill>
              </w:rPr>
              <w:t>招标代理服务费根据《国家发展改革委关于进一步放开建设项目专业服务价格的通知》（发改价格〔2015〕299号）规定及参考关于印发《云南省建设工程招标代理服务收费指导意见（试行）》的通知（云建招协〔2023〕51号）取费标准计算，不足</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7000元，按7000元收取。</w:t>
            </w:r>
            <w:bookmarkEnd w:id="187"/>
            <w:bookmarkEnd w:id="188"/>
          </w:p>
        </w:tc>
      </w:tr>
      <w:tr w14:paraId="70FC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0B2E2871">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189" w:name="_Toc24453"/>
            <w:bookmarkStart w:id="190" w:name="_Toc1334"/>
            <w:r>
              <w:rPr>
                <w:rFonts w:hint="eastAsia" w:ascii="仿宋" w:hAnsi="仿宋" w:eastAsia="仿宋" w:cs="仿宋"/>
                <w:color w:val="auto"/>
                <w:sz w:val="24"/>
                <w:szCs w:val="24"/>
                <w:highlight w:val="none"/>
              </w:rPr>
              <w:t>3.4.1</w:t>
            </w:r>
            <w:bookmarkEnd w:id="189"/>
            <w:bookmarkEnd w:id="190"/>
          </w:p>
        </w:tc>
        <w:tc>
          <w:tcPr>
            <w:tcW w:w="1824" w:type="dxa"/>
            <w:vAlign w:val="center"/>
          </w:tcPr>
          <w:p w14:paraId="2542A482">
            <w:pPr>
              <w:spacing w:line="360" w:lineRule="auto"/>
              <w:jc w:val="center"/>
              <w:outlineLvl w:val="0"/>
              <w:rPr>
                <w:rFonts w:hint="eastAsia" w:ascii="仿宋" w:hAnsi="仿宋" w:eastAsia="仿宋" w:cs="仿宋"/>
                <w:bCs/>
                <w:snapToGrid/>
                <w:color w:val="000000" w:themeColor="text1"/>
                <w:kern w:val="2"/>
                <w:sz w:val="24"/>
                <w:szCs w:val="24"/>
                <w:lang w:val="zh-CN" w:eastAsia="zh-CN"/>
                <w14:textFill>
                  <w14:solidFill>
                    <w14:schemeClr w14:val="tx1"/>
                  </w14:solidFill>
                </w14:textFill>
              </w:rPr>
            </w:pPr>
            <w:bookmarkStart w:id="191" w:name="_Toc3682"/>
            <w:bookmarkStart w:id="192" w:name="_Toc944"/>
            <w:r>
              <w:rPr>
                <w:rFonts w:hint="eastAsia" w:ascii="仿宋" w:hAnsi="仿宋" w:eastAsia="仿宋" w:cs="仿宋"/>
                <w:bCs/>
                <w:snapToGrid/>
                <w:color w:val="000000" w:themeColor="text1"/>
                <w:kern w:val="2"/>
                <w:sz w:val="24"/>
                <w:szCs w:val="24"/>
                <w:lang w:val="zh-CN" w:eastAsia="zh-CN"/>
                <w14:textFill>
                  <w14:solidFill>
                    <w14:schemeClr w14:val="tx1"/>
                  </w14:solidFill>
                </w14:textFill>
              </w:rPr>
              <w:t>磋商有效期</w:t>
            </w:r>
            <w:bookmarkEnd w:id="191"/>
            <w:bookmarkEnd w:id="192"/>
          </w:p>
        </w:tc>
        <w:tc>
          <w:tcPr>
            <w:tcW w:w="7501" w:type="dxa"/>
            <w:vAlign w:val="center"/>
          </w:tcPr>
          <w:p w14:paraId="5D49FADC">
            <w:pPr>
              <w:spacing w:line="360" w:lineRule="auto"/>
              <w:jc w:val="both"/>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193" w:name="_Toc14612"/>
            <w:bookmarkStart w:id="194" w:name="_Toc20803"/>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9</w:t>
            </w:r>
            <w:r>
              <w:rPr>
                <w:rFonts w:hint="eastAsia" w:ascii="仿宋" w:hAnsi="仿宋" w:eastAsia="仿宋" w:cs="仿宋"/>
                <w:bCs/>
                <w:snapToGrid/>
                <w:color w:val="000000" w:themeColor="text1"/>
                <w:kern w:val="2"/>
                <w:sz w:val="24"/>
                <w:szCs w:val="24"/>
                <w:lang w:val="zh-CN"/>
                <w14:textFill>
                  <w14:solidFill>
                    <w14:schemeClr w14:val="tx1"/>
                  </w14:solidFill>
                </w14:textFill>
              </w:rPr>
              <w:t>0日历天(响应文件提交截止时间起计算)</w:t>
            </w:r>
            <w:bookmarkEnd w:id="193"/>
            <w:bookmarkEnd w:id="194"/>
          </w:p>
        </w:tc>
      </w:tr>
      <w:tr w14:paraId="2D90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3B879C33">
            <w:pPr>
              <w:wordWrap w:val="0"/>
              <w:spacing w:line="340" w:lineRule="exact"/>
              <w:jc w:val="center"/>
              <w:rPr>
                <w:rFonts w:hint="eastAsia" w:ascii="仿宋" w:hAnsi="仿宋" w:eastAsia="仿宋" w:cs="仿宋"/>
                <w:bCs/>
                <w:snapToGrid w:val="0"/>
                <w:color w:val="auto"/>
                <w:kern w:val="21"/>
                <w:sz w:val="24"/>
                <w:szCs w:val="24"/>
                <w:highlight w:val="none"/>
                <w:lang w:val="en-US" w:eastAsia="zh-CN" w:bidi="ar-SA"/>
              </w:rPr>
            </w:pPr>
            <w:r>
              <w:rPr>
                <w:rFonts w:hint="eastAsia" w:ascii="仿宋" w:hAnsi="仿宋" w:eastAsia="仿宋" w:cs="仿宋"/>
                <w:color w:val="auto"/>
                <w:sz w:val="24"/>
                <w:szCs w:val="24"/>
                <w:highlight w:val="none"/>
              </w:rPr>
              <w:t>3.5.1</w:t>
            </w:r>
          </w:p>
        </w:tc>
        <w:tc>
          <w:tcPr>
            <w:tcW w:w="1824" w:type="dxa"/>
            <w:vAlign w:val="center"/>
          </w:tcPr>
          <w:p w14:paraId="2992C93D">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Cs/>
                <w:snapToGrid/>
                <w:color w:val="000000" w:themeColor="text1"/>
                <w:kern w:val="2"/>
                <w:sz w:val="24"/>
                <w:szCs w:val="24"/>
                <w:lang w:val="zh-CN" w:eastAsia="zh-CN"/>
                <w14:textFill>
                  <w14:solidFill>
                    <w14:schemeClr w14:val="tx1"/>
                  </w14:solidFill>
                </w14:textFill>
              </w:rPr>
              <w:t>磋商</w:t>
            </w:r>
            <w:r>
              <w:rPr>
                <w:rFonts w:hint="eastAsia" w:ascii="仿宋" w:hAnsi="仿宋" w:eastAsia="仿宋" w:cs="仿宋"/>
                <w:color w:val="000000" w:themeColor="text1"/>
                <w:sz w:val="24"/>
                <w:szCs w:val="24"/>
                <w14:textFill>
                  <w14:solidFill>
                    <w14:schemeClr w14:val="tx1"/>
                  </w14:solidFill>
                </w14:textFill>
              </w:rPr>
              <w:t>保证金</w:t>
            </w:r>
          </w:p>
        </w:tc>
        <w:tc>
          <w:tcPr>
            <w:tcW w:w="7501" w:type="dxa"/>
            <w:vAlign w:val="center"/>
          </w:tcPr>
          <w:p w14:paraId="2FCBF34A">
            <w:pPr>
              <w:spacing w:line="360" w:lineRule="auto"/>
              <w:outlineLvl w:val="0"/>
              <w:rPr>
                <w:rFonts w:hint="eastAsia" w:ascii="仿宋" w:hAnsi="仿宋" w:eastAsia="仿宋" w:cs="仿宋"/>
                <w:bCs/>
                <w:snapToGrid/>
                <w:color w:val="auto"/>
                <w:kern w:val="2"/>
                <w:sz w:val="24"/>
                <w:szCs w:val="24"/>
              </w:rPr>
            </w:pPr>
            <w:bookmarkStart w:id="195" w:name="_Toc13225"/>
            <w:bookmarkStart w:id="196" w:name="_Toc13408"/>
            <w:r>
              <w:rPr>
                <w:rFonts w:hint="eastAsia" w:ascii="仿宋" w:hAnsi="仿宋" w:eastAsia="仿宋" w:cs="仿宋"/>
                <w:bCs/>
                <w:snapToGrid/>
                <w:color w:val="auto"/>
                <w:kern w:val="2"/>
                <w:sz w:val="24"/>
                <w:szCs w:val="24"/>
              </w:rPr>
              <w:t>交纳金额：¥</w:t>
            </w:r>
            <w:r>
              <w:rPr>
                <w:rFonts w:hint="eastAsia" w:ascii="仿宋" w:hAnsi="仿宋" w:eastAsia="仿宋" w:cs="仿宋"/>
                <w:bCs/>
                <w:snapToGrid/>
                <w:color w:val="auto"/>
                <w:kern w:val="2"/>
                <w:sz w:val="24"/>
                <w:szCs w:val="24"/>
                <w:lang w:val="en-US" w:eastAsia="zh-CN"/>
              </w:rPr>
              <w:t>40</w:t>
            </w:r>
            <w:r>
              <w:rPr>
                <w:rFonts w:hint="eastAsia" w:ascii="仿宋" w:hAnsi="仿宋" w:eastAsia="仿宋" w:cs="仿宋"/>
                <w:bCs/>
                <w:snapToGrid/>
                <w:color w:val="auto"/>
                <w:kern w:val="2"/>
                <w:sz w:val="24"/>
                <w:szCs w:val="24"/>
              </w:rPr>
              <w:t>00.00元（人民币</w:t>
            </w:r>
            <w:r>
              <w:rPr>
                <w:rFonts w:hint="eastAsia" w:ascii="仿宋" w:hAnsi="仿宋" w:eastAsia="仿宋" w:cs="仿宋"/>
                <w:bCs/>
                <w:snapToGrid/>
                <w:color w:val="auto"/>
                <w:kern w:val="2"/>
                <w:sz w:val="24"/>
                <w:szCs w:val="24"/>
                <w:lang w:eastAsia="zh-CN"/>
              </w:rPr>
              <w:t>叁仟元整</w:t>
            </w:r>
            <w:r>
              <w:rPr>
                <w:rFonts w:hint="eastAsia" w:ascii="仿宋" w:hAnsi="仿宋" w:eastAsia="仿宋" w:cs="仿宋"/>
                <w:bCs/>
                <w:snapToGrid/>
                <w:color w:val="auto"/>
                <w:kern w:val="2"/>
                <w:sz w:val="24"/>
                <w:szCs w:val="24"/>
              </w:rPr>
              <w:t>）</w:t>
            </w:r>
            <w:bookmarkEnd w:id="195"/>
            <w:bookmarkEnd w:id="196"/>
          </w:p>
          <w:p w14:paraId="6EBB072A">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97" w:name="_Toc32523"/>
            <w:bookmarkStart w:id="198" w:name="_Toc9797"/>
            <w:r>
              <w:rPr>
                <w:rFonts w:hint="eastAsia" w:ascii="仿宋" w:hAnsi="仿宋" w:eastAsia="仿宋" w:cs="仿宋"/>
                <w:bCs/>
                <w:snapToGrid/>
                <w:color w:val="000000" w:themeColor="text1"/>
                <w:kern w:val="2"/>
                <w:sz w:val="24"/>
                <w:szCs w:val="24"/>
                <w14:textFill>
                  <w14:solidFill>
                    <w14:schemeClr w14:val="tx1"/>
                  </w14:solidFill>
                </w14:textFill>
              </w:rPr>
              <w:t>交纳方式：银行转账、支票、汇票、本票或者金融机构、担保机构出具的保函等非现金形式提交</w:t>
            </w:r>
            <w:bookmarkEnd w:id="197"/>
            <w:bookmarkEnd w:id="198"/>
          </w:p>
          <w:p w14:paraId="2D61305E">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199" w:name="_Toc17067"/>
            <w:bookmarkStart w:id="200" w:name="_Toc10776"/>
            <w:r>
              <w:rPr>
                <w:rFonts w:hint="eastAsia" w:ascii="仿宋" w:hAnsi="仿宋" w:eastAsia="仿宋" w:cs="仿宋"/>
                <w:bCs/>
                <w:snapToGrid/>
                <w:color w:val="000000" w:themeColor="text1"/>
                <w:kern w:val="2"/>
                <w:sz w:val="24"/>
                <w:szCs w:val="24"/>
                <w14:textFill>
                  <w14:solidFill>
                    <w14:schemeClr w14:val="tx1"/>
                  </w14:solidFill>
                </w14:textFill>
              </w:rPr>
              <w:t>户名：云南中招招标有限公司</w:t>
            </w:r>
            <w:bookmarkEnd w:id="199"/>
            <w:bookmarkEnd w:id="200"/>
          </w:p>
          <w:p w14:paraId="67BDBD6C">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01" w:name="_Toc32486"/>
            <w:bookmarkStart w:id="202" w:name="_Toc4744"/>
            <w:r>
              <w:rPr>
                <w:rFonts w:hint="eastAsia" w:ascii="仿宋" w:hAnsi="仿宋" w:eastAsia="仿宋" w:cs="仿宋"/>
                <w:bCs/>
                <w:snapToGrid/>
                <w:color w:val="000000" w:themeColor="text1"/>
                <w:kern w:val="2"/>
                <w:sz w:val="24"/>
                <w:szCs w:val="24"/>
                <w14:textFill>
                  <w14:solidFill>
                    <w14:schemeClr w14:val="tx1"/>
                  </w14:solidFill>
                </w14:textFill>
              </w:rPr>
              <w:t>开户行：云南红塔银行昆明圆通街支行</w:t>
            </w:r>
            <w:bookmarkEnd w:id="201"/>
            <w:bookmarkEnd w:id="202"/>
          </w:p>
          <w:p w14:paraId="7533AD72">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03" w:name="_Toc7901"/>
            <w:bookmarkStart w:id="204" w:name="_Toc10463"/>
            <w:r>
              <w:rPr>
                <w:rFonts w:hint="eastAsia" w:ascii="仿宋" w:hAnsi="仿宋" w:eastAsia="仿宋" w:cs="仿宋"/>
                <w:bCs/>
                <w:snapToGrid/>
                <w:color w:val="000000" w:themeColor="text1"/>
                <w:kern w:val="2"/>
                <w:sz w:val="24"/>
                <w:szCs w:val="24"/>
                <w14:textFill>
                  <w14:solidFill>
                    <w14:schemeClr w14:val="tx1"/>
                  </w14:solidFill>
                </w14:textFill>
              </w:rPr>
              <w:t>账号：3202 3200 0000 0029</w:t>
            </w:r>
            <w:bookmarkEnd w:id="203"/>
            <w:bookmarkEnd w:id="204"/>
          </w:p>
          <w:p w14:paraId="43ABE671">
            <w:pPr>
              <w:spacing w:line="360" w:lineRule="auto"/>
              <w:outlineLvl w:val="0"/>
              <w:rPr>
                <w:rFonts w:hint="eastAsia" w:ascii="仿宋" w:hAnsi="仿宋" w:eastAsia="仿宋" w:cs="仿宋"/>
                <w:b/>
                <w:bCs w:val="0"/>
                <w:snapToGrid/>
                <w:color w:val="000000" w:themeColor="text1"/>
                <w:kern w:val="2"/>
                <w:sz w:val="24"/>
                <w:szCs w:val="24"/>
                <w14:textFill>
                  <w14:solidFill>
                    <w14:schemeClr w14:val="tx1"/>
                  </w14:solidFill>
                </w14:textFill>
              </w:rPr>
            </w:pPr>
            <w:bookmarkStart w:id="205" w:name="_Toc26163"/>
            <w:bookmarkStart w:id="206" w:name="_Toc4502"/>
            <w:r>
              <w:rPr>
                <w:rFonts w:hint="eastAsia" w:ascii="仿宋" w:hAnsi="仿宋" w:eastAsia="仿宋" w:cs="仿宋"/>
                <w:b/>
                <w:bCs w:val="0"/>
                <w:snapToGrid/>
                <w:color w:val="000000" w:themeColor="text1"/>
                <w:kern w:val="2"/>
                <w:sz w:val="24"/>
                <w:szCs w:val="24"/>
                <w:lang w:eastAsia="zh-CN"/>
                <w14:textFill>
                  <w14:solidFill>
                    <w14:schemeClr w14:val="tx1"/>
                  </w14:solidFill>
                </w14:textFill>
              </w:rPr>
              <w:fldChar w:fldCharType="begin"/>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instrText xml:space="preserve"> HYPERLINK "mailto:供应商交纳投标保证金时需备注项目名称及项目编号，交纳后将相关凭证扫描件发送给采购代理机构邮箱4147123944@qq.com，并及时电话告知采购代理机构15187636030换取投标保证金收据，其复印件或扫描件须附在投标文件中相应位置。" </w:instrText>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fldChar w:fldCharType="separate"/>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t>供应商交纳磋商保证金时需备注项目名称及项目编号，交纳后将相关凭证扫描件发送给采购代理机构邮箱</w:t>
            </w:r>
            <w:r>
              <w:rPr>
                <w:rFonts w:hint="eastAsia" w:ascii="仿宋" w:hAnsi="仿宋" w:eastAsia="仿宋" w:cs="仿宋"/>
                <w:b/>
                <w:bCs w:val="0"/>
                <w:snapToGrid/>
                <w:color w:val="000000" w:themeColor="text1"/>
                <w:kern w:val="2"/>
                <w:sz w:val="24"/>
                <w:szCs w:val="24"/>
                <w:lang w:val="en-US" w:eastAsia="zh-CN"/>
                <w14:textFill>
                  <w14:solidFill>
                    <w14:schemeClr w14:val="tx1"/>
                  </w14:solidFill>
                </w14:textFill>
              </w:rPr>
              <w:t>2259174901</w:t>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t>@qq.com，并及时电话告知采购代理机构</w:t>
            </w:r>
            <w:r>
              <w:rPr>
                <w:rFonts w:hint="eastAsia" w:ascii="仿宋" w:hAnsi="仿宋" w:eastAsia="仿宋" w:cs="仿宋"/>
                <w:b/>
                <w:bCs w:val="0"/>
                <w:snapToGrid/>
                <w:color w:val="000000" w:themeColor="text1"/>
                <w:kern w:val="2"/>
                <w:sz w:val="24"/>
                <w:szCs w:val="24"/>
                <w:lang w:val="en-US" w:eastAsia="zh-CN"/>
                <w14:textFill>
                  <w14:solidFill>
                    <w14:schemeClr w14:val="tx1"/>
                  </w14:solidFill>
                </w14:textFill>
              </w:rPr>
              <w:t>18988193038</w:t>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t>。换取磋商保证金收据，其复印件或扫描件须附在响应文件中相应位置。</w:t>
            </w:r>
            <w:r>
              <w:rPr>
                <w:rFonts w:hint="eastAsia" w:ascii="仿宋" w:hAnsi="仿宋" w:eastAsia="仿宋" w:cs="仿宋"/>
                <w:b/>
                <w:bCs w:val="0"/>
                <w:snapToGrid/>
                <w:color w:val="000000" w:themeColor="text1"/>
                <w:kern w:val="2"/>
                <w:sz w:val="24"/>
                <w:szCs w:val="24"/>
                <w:lang w:eastAsia="zh-CN"/>
                <w14:textFill>
                  <w14:solidFill>
                    <w14:schemeClr w14:val="tx1"/>
                  </w14:solidFill>
                </w14:textFill>
              </w:rPr>
              <w:fldChar w:fldCharType="end"/>
            </w:r>
            <w:bookmarkEnd w:id="205"/>
            <w:bookmarkEnd w:id="206"/>
          </w:p>
          <w:p w14:paraId="7FB23380">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07" w:name="_Toc27380"/>
            <w:bookmarkStart w:id="208" w:name="_Toc17456"/>
            <w:r>
              <w:rPr>
                <w:rFonts w:hint="eastAsia" w:ascii="仿宋" w:hAnsi="仿宋" w:eastAsia="仿宋" w:cs="仿宋"/>
                <w:bCs/>
                <w:snapToGrid/>
                <w:color w:val="000000" w:themeColor="text1"/>
                <w:kern w:val="2"/>
                <w:sz w:val="24"/>
                <w:szCs w:val="24"/>
                <w:lang w:eastAsia="zh-CN"/>
                <w14:textFill>
                  <w14:solidFill>
                    <w14:schemeClr w14:val="tx1"/>
                  </w14:solidFill>
                </w14:textFill>
              </w:rPr>
              <w:t>磋商保证金</w:t>
            </w:r>
            <w:r>
              <w:rPr>
                <w:rFonts w:hint="eastAsia" w:ascii="仿宋" w:hAnsi="仿宋" w:eastAsia="仿宋" w:cs="仿宋"/>
                <w:bCs/>
                <w:snapToGrid/>
                <w:color w:val="000000" w:themeColor="text1"/>
                <w:kern w:val="2"/>
                <w:sz w:val="24"/>
                <w:szCs w:val="24"/>
                <w14:textFill>
                  <w14:solidFill>
                    <w14:schemeClr w14:val="tx1"/>
                  </w14:solidFill>
                </w14:textFill>
              </w:rPr>
              <w:t>交纳截止时间：</w:t>
            </w: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2025年03月31日15时00分</w:t>
            </w:r>
            <w:bookmarkEnd w:id="207"/>
            <w:bookmarkEnd w:id="208"/>
          </w:p>
          <w:p w14:paraId="42FD3B69">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09" w:name="_Toc6932"/>
            <w:bookmarkStart w:id="210" w:name="_Toc22102"/>
            <w:r>
              <w:rPr>
                <w:rFonts w:hint="eastAsia" w:ascii="仿宋" w:hAnsi="仿宋" w:eastAsia="仿宋" w:cs="仿宋"/>
                <w:bCs/>
                <w:snapToGrid/>
                <w:color w:val="000000" w:themeColor="text1"/>
                <w:kern w:val="2"/>
                <w:sz w:val="24"/>
                <w:szCs w:val="24"/>
                <w14:textFill>
                  <w14:solidFill>
                    <w14:schemeClr w14:val="tx1"/>
                  </w14:solidFill>
                </w14:textFill>
              </w:rPr>
              <w:t>注：供应商通过对公转账的</w:t>
            </w:r>
            <w:r>
              <w:rPr>
                <w:rFonts w:hint="eastAsia" w:ascii="仿宋" w:hAnsi="仿宋" w:eastAsia="仿宋" w:cs="仿宋"/>
                <w:bCs/>
                <w:snapToGrid/>
                <w:color w:val="000000" w:themeColor="text1"/>
                <w:kern w:val="2"/>
                <w:sz w:val="24"/>
                <w:szCs w:val="24"/>
                <w:lang w:eastAsia="zh-CN"/>
                <w14:textFill>
                  <w14:solidFill>
                    <w14:schemeClr w14:val="tx1"/>
                  </w14:solidFill>
                </w14:textFill>
              </w:rPr>
              <w:t>磋商</w:t>
            </w:r>
            <w:r>
              <w:rPr>
                <w:rFonts w:hint="eastAsia" w:ascii="仿宋" w:hAnsi="仿宋" w:eastAsia="仿宋" w:cs="仿宋"/>
                <w:bCs/>
                <w:snapToGrid/>
                <w:color w:val="000000" w:themeColor="text1"/>
                <w:kern w:val="2"/>
                <w:sz w:val="24"/>
                <w:szCs w:val="24"/>
                <w14:textFill>
                  <w14:solidFill>
                    <w14:schemeClr w14:val="tx1"/>
                  </w14:solidFill>
                </w14:textFill>
              </w:rPr>
              <w:t>保证金必须从其基本账户转出。</w:t>
            </w:r>
            <w:bookmarkEnd w:id="209"/>
            <w:bookmarkEnd w:id="210"/>
          </w:p>
        </w:tc>
      </w:tr>
      <w:tr w14:paraId="00B1A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7A6DE02A">
            <w:pPr>
              <w:spacing w:line="360" w:lineRule="auto"/>
              <w:jc w:val="center"/>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211" w:name="_Toc9080"/>
            <w:bookmarkStart w:id="212" w:name="_Toc4469"/>
            <w:r>
              <w:rPr>
                <w:rFonts w:hint="eastAsia" w:ascii="仿宋" w:hAnsi="仿宋" w:eastAsia="仿宋" w:cs="仿宋"/>
                <w:bCs/>
                <w:snapToGrid/>
                <w:color w:val="000000" w:themeColor="text1"/>
                <w:kern w:val="2"/>
                <w:sz w:val="24"/>
                <w:szCs w:val="24"/>
                <w14:textFill>
                  <w14:solidFill>
                    <w14:schemeClr w14:val="tx1"/>
                  </w14:solidFill>
                </w14:textFill>
              </w:rPr>
              <w:t>3.6.1</w:t>
            </w:r>
            <w:bookmarkEnd w:id="211"/>
            <w:bookmarkEnd w:id="212"/>
          </w:p>
        </w:tc>
        <w:tc>
          <w:tcPr>
            <w:tcW w:w="1824" w:type="dxa"/>
            <w:shd w:val="clear" w:color="auto" w:fill="auto"/>
            <w:vAlign w:val="center"/>
          </w:tcPr>
          <w:p w14:paraId="64936C60">
            <w:pPr>
              <w:spacing w:line="360" w:lineRule="auto"/>
              <w:jc w:val="center"/>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13" w:name="_Toc32022"/>
            <w:bookmarkStart w:id="214" w:name="_Toc1075"/>
            <w:r>
              <w:rPr>
                <w:rFonts w:hint="eastAsia" w:ascii="仿宋" w:hAnsi="仿宋" w:eastAsia="仿宋" w:cs="仿宋"/>
                <w:bCs/>
                <w:snapToGrid/>
                <w:color w:val="000000" w:themeColor="text1"/>
                <w:kern w:val="2"/>
                <w:sz w:val="24"/>
                <w:szCs w:val="24"/>
                <w14:textFill>
                  <w14:solidFill>
                    <w14:schemeClr w14:val="tx1"/>
                  </w14:solidFill>
                </w14:textFill>
              </w:rPr>
              <w:t>响应文件的份数</w:t>
            </w:r>
            <w:bookmarkEnd w:id="213"/>
            <w:bookmarkEnd w:id="214"/>
          </w:p>
        </w:tc>
        <w:tc>
          <w:tcPr>
            <w:tcW w:w="7501" w:type="dxa"/>
            <w:shd w:val="clear" w:color="auto" w:fill="auto"/>
            <w:vAlign w:val="center"/>
          </w:tcPr>
          <w:p w14:paraId="118EB997">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15" w:name="_Toc26559"/>
            <w:bookmarkStart w:id="216" w:name="_Toc20008"/>
            <w:r>
              <w:rPr>
                <w:rFonts w:hint="eastAsia" w:ascii="仿宋" w:hAnsi="仿宋" w:eastAsia="仿宋" w:cs="仿宋"/>
                <w:bCs/>
                <w:snapToGrid/>
                <w:color w:val="000000" w:themeColor="text1"/>
                <w:kern w:val="2"/>
                <w:sz w:val="24"/>
                <w:szCs w:val="24"/>
                <w:lang w:val="zh-CN"/>
                <w14:textFill>
                  <w14:solidFill>
                    <w14:schemeClr w14:val="tx1"/>
                  </w14:solidFill>
                </w14:textFill>
              </w:rPr>
              <w:t>三份，正本一份，副本二份（副本可以是正本的复印件）。正本和副本的封面上应清楚地标记“正本”或“副本”字样。当正本和副本不一致时，以正本为准。</w:t>
            </w:r>
            <w:bookmarkEnd w:id="215"/>
            <w:bookmarkEnd w:id="216"/>
          </w:p>
        </w:tc>
      </w:tr>
      <w:tr w14:paraId="07625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shd w:val="clear" w:color="auto" w:fill="auto"/>
            <w:vAlign w:val="center"/>
          </w:tcPr>
          <w:p w14:paraId="4052BC20">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17" w:name="_Toc4497"/>
            <w:bookmarkStart w:id="218" w:name="_Toc7745"/>
            <w:r>
              <w:rPr>
                <w:rFonts w:hint="eastAsia" w:ascii="仿宋" w:hAnsi="仿宋" w:eastAsia="仿宋" w:cs="仿宋"/>
                <w:bCs/>
                <w:snapToGrid/>
                <w:color w:val="000000" w:themeColor="text1"/>
                <w:kern w:val="2"/>
                <w:sz w:val="24"/>
                <w:szCs w:val="24"/>
                <w14:textFill>
                  <w14:solidFill>
                    <w14:schemeClr w14:val="tx1"/>
                  </w14:solidFill>
                </w14:textFill>
              </w:rPr>
              <w:t>3.6.2</w:t>
            </w:r>
            <w:bookmarkEnd w:id="217"/>
            <w:bookmarkEnd w:id="218"/>
          </w:p>
        </w:tc>
        <w:tc>
          <w:tcPr>
            <w:tcW w:w="1824" w:type="dxa"/>
            <w:shd w:val="clear" w:color="auto" w:fill="auto"/>
            <w:vAlign w:val="center"/>
          </w:tcPr>
          <w:p w14:paraId="16B9117A">
            <w:pPr>
              <w:spacing w:line="360" w:lineRule="auto"/>
              <w:jc w:val="center"/>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19" w:name="_Toc9638"/>
            <w:bookmarkStart w:id="220" w:name="_Toc9851"/>
            <w:r>
              <w:rPr>
                <w:rFonts w:hint="eastAsia" w:ascii="仿宋" w:hAnsi="仿宋" w:eastAsia="仿宋" w:cs="仿宋"/>
                <w:bCs/>
                <w:snapToGrid/>
                <w:color w:val="000000" w:themeColor="text1"/>
                <w:kern w:val="2"/>
                <w:sz w:val="24"/>
                <w:szCs w:val="24"/>
                <w14:textFill>
                  <w14:solidFill>
                    <w14:schemeClr w14:val="tx1"/>
                  </w14:solidFill>
                </w14:textFill>
              </w:rPr>
              <w:t>是否要求提交可编辑电子版响应文件</w:t>
            </w:r>
            <w:bookmarkEnd w:id="219"/>
            <w:bookmarkEnd w:id="220"/>
          </w:p>
        </w:tc>
        <w:tc>
          <w:tcPr>
            <w:tcW w:w="7501" w:type="dxa"/>
            <w:shd w:val="clear" w:color="auto" w:fill="auto"/>
            <w:vAlign w:val="center"/>
          </w:tcPr>
          <w:p w14:paraId="2C4058BA">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21" w:name="_Toc18422"/>
            <w:bookmarkStart w:id="222" w:name="_Toc7404"/>
            <w:r>
              <w:rPr>
                <w:rFonts w:hint="eastAsia" w:ascii="仿宋" w:hAnsi="仿宋" w:eastAsia="仿宋" w:cs="仿宋"/>
                <w:bCs/>
                <w:snapToGrid/>
                <w:color w:val="000000" w:themeColor="text1"/>
                <w:kern w:val="2"/>
                <w:sz w:val="24"/>
                <w:szCs w:val="24"/>
                <w14:textFill>
                  <w14:solidFill>
                    <w14:schemeClr w14:val="tx1"/>
                  </w14:solidFill>
                </w14:textFill>
              </w:rPr>
              <w:t>□否</w:t>
            </w:r>
            <w:bookmarkEnd w:id="221"/>
            <w:bookmarkEnd w:id="222"/>
          </w:p>
          <w:p w14:paraId="5AD5C7E5">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23" w:name="_Toc25139"/>
            <w:bookmarkStart w:id="224" w:name="_Toc19404"/>
            <w:r>
              <w:rPr>
                <w:rFonts w:hint="eastAsia" w:ascii="仿宋" w:hAnsi="仿宋" w:eastAsia="仿宋" w:cs="仿宋"/>
                <w:bCs/>
                <w:snapToGrid/>
                <w:color w:val="000000" w:themeColor="text1"/>
                <w:kern w:val="2"/>
                <w:sz w:val="24"/>
                <w:szCs w:val="24"/>
                <w14:textFill>
                  <w14:solidFill>
                    <w14:schemeClr w14:val="tx1"/>
                  </w14:solidFill>
                </w14:textFill>
              </w:rPr>
              <w:t>☑是：响应文件格式为Word或PDF,存储媒介为U盘或光盘</w:t>
            </w:r>
            <w:r>
              <w:rPr>
                <w:rFonts w:hint="eastAsia" w:ascii="仿宋" w:hAnsi="仿宋" w:eastAsia="仿宋" w:cs="仿宋"/>
                <w:bCs/>
                <w:snapToGrid/>
                <w:color w:val="000000" w:themeColor="text1"/>
                <w:kern w:val="2"/>
                <w:sz w:val="24"/>
                <w:szCs w:val="24"/>
                <w:lang w:eastAsia="zh-CN"/>
                <w14:textFill>
                  <w14:solidFill>
                    <w14:schemeClr w14:val="tx1"/>
                  </w14:solidFill>
                </w14:textFill>
              </w:rPr>
              <w:t>。</w:t>
            </w:r>
            <w:bookmarkEnd w:id="223"/>
            <w:bookmarkEnd w:id="224"/>
          </w:p>
        </w:tc>
      </w:tr>
      <w:tr w14:paraId="06238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44D27DE3">
            <w:pPr>
              <w:spacing w:line="360" w:lineRule="auto"/>
              <w:jc w:val="center"/>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25" w:name="_Toc22208"/>
            <w:bookmarkStart w:id="226" w:name="_Toc11439"/>
            <w:r>
              <w:rPr>
                <w:rFonts w:hint="eastAsia" w:ascii="仿宋" w:hAnsi="仿宋" w:eastAsia="仿宋" w:cs="仿宋"/>
                <w:bCs/>
                <w:snapToGrid/>
                <w:color w:val="000000" w:themeColor="text1"/>
                <w:kern w:val="2"/>
                <w:sz w:val="24"/>
                <w:szCs w:val="24"/>
                <w14:textFill>
                  <w14:solidFill>
                    <w14:schemeClr w14:val="tx1"/>
                  </w14:solidFill>
                </w14:textFill>
              </w:rPr>
              <w:t>3.6.3</w:t>
            </w:r>
            <w:bookmarkEnd w:id="225"/>
            <w:bookmarkEnd w:id="226"/>
          </w:p>
        </w:tc>
        <w:tc>
          <w:tcPr>
            <w:tcW w:w="1824" w:type="dxa"/>
            <w:vAlign w:val="center"/>
          </w:tcPr>
          <w:p w14:paraId="5317E345">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27" w:name="_Toc32451"/>
            <w:bookmarkStart w:id="228" w:name="_Toc12640"/>
            <w:r>
              <w:rPr>
                <w:rFonts w:hint="eastAsia" w:ascii="仿宋" w:hAnsi="仿宋" w:eastAsia="仿宋" w:cs="仿宋"/>
                <w:bCs/>
                <w:snapToGrid/>
                <w:color w:val="000000" w:themeColor="text1"/>
                <w:kern w:val="2"/>
                <w:sz w:val="24"/>
                <w:szCs w:val="24"/>
                <w:lang w:val="zh-CN"/>
                <w14:textFill>
                  <w14:solidFill>
                    <w14:schemeClr w14:val="tx1"/>
                  </w14:solidFill>
                </w14:textFill>
              </w:rPr>
              <w:t>响应文件签字盖章的要求</w:t>
            </w:r>
            <w:bookmarkEnd w:id="227"/>
            <w:bookmarkEnd w:id="228"/>
          </w:p>
        </w:tc>
        <w:tc>
          <w:tcPr>
            <w:tcW w:w="7501" w:type="dxa"/>
            <w:vAlign w:val="center"/>
          </w:tcPr>
          <w:p w14:paraId="3E9D9539">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29" w:name="_Toc15483"/>
            <w:bookmarkStart w:id="230" w:name="_Toc10326"/>
            <w:r>
              <w:rPr>
                <w:rFonts w:hint="eastAsia" w:ascii="仿宋" w:hAnsi="仿宋" w:eastAsia="仿宋" w:cs="仿宋"/>
                <w:bCs/>
                <w:snapToGrid/>
                <w:color w:val="000000" w:themeColor="text1"/>
                <w:kern w:val="2"/>
                <w:sz w:val="24"/>
                <w:szCs w:val="24"/>
                <w:lang w:val="zh-CN"/>
                <w14:textFill>
                  <w14:solidFill>
                    <w14:schemeClr w14:val="tx1"/>
                  </w14:solidFill>
                </w14:textFill>
              </w:rPr>
              <w:t>(1)响应文件封面应加盖供应商单位章，并经法定代表人或其委托代理人签字；</w:t>
            </w:r>
            <w:bookmarkEnd w:id="229"/>
            <w:bookmarkEnd w:id="230"/>
          </w:p>
          <w:p w14:paraId="63BB05A9">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31" w:name="_Toc24542"/>
            <w:bookmarkStart w:id="232" w:name="_Toc28904"/>
            <w:r>
              <w:rPr>
                <w:rFonts w:hint="eastAsia" w:ascii="仿宋" w:hAnsi="仿宋" w:eastAsia="仿宋" w:cs="仿宋"/>
                <w:bCs/>
                <w:snapToGrid/>
                <w:color w:val="000000" w:themeColor="text1"/>
                <w:kern w:val="2"/>
                <w:sz w:val="24"/>
                <w:szCs w:val="24"/>
                <w:lang w:val="zh-CN"/>
                <w14:textFill>
                  <w14:solidFill>
                    <w14:schemeClr w14:val="tx1"/>
                  </w14:solidFill>
                </w14:textFill>
              </w:rPr>
              <w:t>(2)响应文件要求签字的地方应加盖供应商单位章，并经法定代表人或其委托代理人签字；</w:t>
            </w:r>
            <w:bookmarkEnd w:id="231"/>
            <w:bookmarkEnd w:id="232"/>
          </w:p>
          <w:p w14:paraId="764EF5A0">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33" w:name="_Toc4411"/>
            <w:bookmarkStart w:id="234" w:name="_Toc11922"/>
            <w:r>
              <w:rPr>
                <w:rFonts w:hint="eastAsia" w:ascii="仿宋" w:hAnsi="仿宋" w:eastAsia="仿宋" w:cs="仿宋"/>
                <w:bCs/>
                <w:snapToGrid/>
                <w:color w:val="000000" w:themeColor="text1"/>
                <w:kern w:val="2"/>
                <w:sz w:val="24"/>
                <w:szCs w:val="24"/>
                <w:lang w:val="zh-CN"/>
                <w14:textFill>
                  <w14:solidFill>
                    <w14:schemeClr w14:val="tx1"/>
                  </w14:solidFill>
                </w14:textFill>
              </w:rPr>
              <w:t>(3)改动之处应加盖供应商单位章，并经法定代表人或其委托代理人签字。</w:t>
            </w:r>
            <w:bookmarkEnd w:id="233"/>
            <w:bookmarkEnd w:id="234"/>
          </w:p>
          <w:p w14:paraId="2DB0991E">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35" w:name="_Toc11705"/>
            <w:bookmarkStart w:id="236" w:name="_Toc14769"/>
            <w:r>
              <w:rPr>
                <w:rFonts w:hint="eastAsia" w:ascii="仿宋" w:hAnsi="仿宋" w:eastAsia="仿宋" w:cs="仿宋"/>
                <w:bCs/>
                <w:snapToGrid/>
                <w:color w:val="000000" w:themeColor="text1"/>
                <w:kern w:val="2"/>
                <w:sz w:val="24"/>
                <w:szCs w:val="24"/>
                <w:lang w:val="zh-CN"/>
                <w14:textFill>
                  <w14:solidFill>
                    <w14:schemeClr w14:val="tx1"/>
                  </w14:solidFill>
                </w14:textFill>
              </w:rPr>
              <w:t>注：响应文件需签字盖单位公章的地方，应按照竞争性谈判文件的要求进行签字盖单位公章，否则响应文件无效；</w:t>
            </w:r>
            <w:bookmarkEnd w:id="235"/>
            <w:bookmarkEnd w:id="236"/>
          </w:p>
        </w:tc>
      </w:tr>
      <w:tr w14:paraId="6CCC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6E1FBA18">
            <w:pPr>
              <w:spacing w:line="276"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zh-CN"/>
                <w14:textFill>
                  <w14:solidFill>
                    <w14:schemeClr w14:val="tx1"/>
                  </w14:solidFill>
                </w14:textFill>
              </w:rPr>
              <w:t>3.6.</w:t>
            </w:r>
            <w:r>
              <w:rPr>
                <w:rFonts w:hint="eastAsia" w:ascii="仿宋" w:hAnsi="仿宋" w:eastAsia="仿宋" w:cs="仿宋"/>
                <w:color w:val="000000" w:themeColor="text1"/>
                <w:sz w:val="24"/>
                <w:szCs w:val="24"/>
                <w14:textFill>
                  <w14:solidFill>
                    <w14:schemeClr w14:val="tx1"/>
                  </w14:solidFill>
                </w14:textFill>
              </w:rPr>
              <w:t>4</w:t>
            </w:r>
          </w:p>
        </w:tc>
        <w:tc>
          <w:tcPr>
            <w:tcW w:w="1824" w:type="dxa"/>
            <w:vAlign w:val="center"/>
          </w:tcPr>
          <w:p w14:paraId="2B7F5CC2">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37" w:name="_Toc3369"/>
            <w:bookmarkStart w:id="238" w:name="_Toc23854"/>
            <w:r>
              <w:rPr>
                <w:rFonts w:hint="eastAsia" w:ascii="仿宋" w:hAnsi="仿宋" w:eastAsia="仿宋" w:cs="仿宋"/>
                <w:bCs/>
                <w:snapToGrid/>
                <w:color w:val="000000" w:themeColor="text1"/>
                <w:kern w:val="2"/>
                <w:sz w:val="24"/>
                <w:szCs w:val="24"/>
                <w:lang w:val="zh-CN"/>
                <w14:textFill>
                  <w14:solidFill>
                    <w14:schemeClr w14:val="tx1"/>
                  </w14:solidFill>
                </w14:textFill>
              </w:rPr>
              <w:t>响应文件的装订、密封</w:t>
            </w:r>
            <w:bookmarkEnd w:id="237"/>
            <w:bookmarkEnd w:id="238"/>
          </w:p>
        </w:tc>
        <w:tc>
          <w:tcPr>
            <w:tcW w:w="7501" w:type="dxa"/>
            <w:vAlign w:val="center"/>
          </w:tcPr>
          <w:p w14:paraId="4DF5B5E4">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39" w:name="_Toc12470"/>
            <w:bookmarkStart w:id="240" w:name="_Toc15347"/>
            <w:r>
              <w:rPr>
                <w:rFonts w:hint="eastAsia" w:ascii="仿宋" w:hAnsi="仿宋" w:eastAsia="仿宋" w:cs="仿宋"/>
                <w:bCs/>
                <w:snapToGrid/>
                <w:color w:val="000000" w:themeColor="text1"/>
                <w:kern w:val="2"/>
                <w:sz w:val="24"/>
                <w:szCs w:val="24"/>
                <w:lang w:val="zh-CN"/>
                <w14:textFill>
                  <w14:solidFill>
                    <w14:schemeClr w14:val="tx1"/>
                  </w14:solidFill>
                </w14:textFill>
              </w:rPr>
              <w:t>（1）响应文件的装订要求：统一使用A4纸打印，编制页码和目录并装订成册；每册采用粘贴方式装订，装订应牢固，不易拆散和换页，不得采用活页夹装订。</w:t>
            </w:r>
            <w:bookmarkEnd w:id="239"/>
            <w:bookmarkEnd w:id="240"/>
          </w:p>
          <w:p w14:paraId="0BBEED70">
            <w:pPr>
              <w:spacing w:line="360" w:lineRule="auto"/>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41" w:name="_Toc9317"/>
            <w:bookmarkStart w:id="242" w:name="_Toc14053"/>
            <w:r>
              <w:rPr>
                <w:rFonts w:hint="eastAsia" w:ascii="仿宋" w:hAnsi="仿宋" w:eastAsia="仿宋" w:cs="仿宋"/>
                <w:bCs/>
                <w:snapToGrid/>
                <w:color w:val="000000" w:themeColor="text1"/>
                <w:kern w:val="2"/>
                <w:sz w:val="24"/>
                <w:szCs w:val="24"/>
                <w:lang w:val="zh-CN"/>
                <w14:textFill>
                  <w14:solidFill>
                    <w14:schemeClr w14:val="tx1"/>
                  </w14:solidFill>
                </w14:textFill>
              </w:rPr>
              <w:t>（2）响应文件的所有正本与副本与U 盘（光盘）电子响应文件统一密封在一个封套内，并在封套的封口处加盖供应商单位公章</w:t>
            </w:r>
            <w:r>
              <w:rPr>
                <w:rFonts w:hint="eastAsia" w:ascii="仿宋" w:hAnsi="仿宋" w:eastAsia="仿宋" w:cs="仿宋"/>
                <w:bCs/>
                <w:snapToGrid/>
                <w:color w:val="000000" w:themeColor="text1"/>
                <w:kern w:val="2"/>
                <w:sz w:val="24"/>
                <w:szCs w:val="24"/>
                <w:lang w:val="zh-CN" w:eastAsia="zh-CN"/>
                <w14:textFill>
                  <w14:solidFill>
                    <w14:schemeClr w14:val="tx1"/>
                  </w14:solidFill>
                </w14:textFill>
              </w:rPr>
              <w:t>或密封章</w:t>
            </w:r>
            <w:r>
              <w:rPr>
                <w:rFonts w:hint="eastAsia" w:ascii="仿宋" w:hAnsi="仿宋" w:eastAsia="仿宋" w:cs="仿宋"/>
                <w:bCs/>
                <w:snapToGrid/>
                <w:color w:val="000000" w:themeColor="text1"/>
                <w:kern w:val="2"/>
                <w:sz w:val="24"/>
                <w:szCs w:val="24"/>
                <w:lang w:val="zh-CN"/>
                <w14:textFill>
                  <w14:solidFill>
                    <w14:schemeClr w14:val="tx1"/>
                  </w14:solidFill>
                </w14:textFill>
              </w:rPr>
              <w:t>。</w:t>
            </w:r>
            <w:bookmarkEnd w:id="241"/>
            <w:bookmarkEnd w:id="242"/>
          </w:p>
        </w:tc>
      </w:tr>
      <w:tr w14:paraId="682F9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1" w:hRule="atLeast"/>
        </w:trPr>
        <w:tc>
          <w:tcPr>
            <w:tcW w:w="730" w:type="dxa"/>
            <w:vAlign w:val="center"/>
          </w:tcPr>
          <w:p w14:paraId="027EF519">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43" w:name="_Toc14398"/>
            <w:bookmarkStart w:id="244" w:name="_Toc12739"/>
            <w:r>
              <w:rPr>
                <w:rFonts w:hint="eastAsia" w:ascii="仿宋" w:hAnsi="仿宋" w:eastAsia="仿宋" w:cs="仿宋"/>
                <w:bCs/>
                <w:snapToGrid/>
                <w:color w:val="000000" w:themeColor="text1"/>
                <w:kern w:val="2"/>
                <w:sz w:val="24"/>
                <w:szCs w:val="24"/>
                <w:lang w:val="zh-CN"/>
                <w14:textFill>
                  <w14:solidFill>
                    <w14:schemeClr w14:val="tx1"/>
                  </w14:solidFill>
                </w14:textFill>
              </w:rPr>
              <w:t>3.6.5</w:t>
            </w:r>
            <w:bookmarkEnd w:id="243"/>
            <w:bookmarkEnd w:id="244"/>
          </w:p>
        </w:tc>
        <w:tc>
          <w:tcPr>
            <w:tcW w:w="1824" w:type="dxa"/>
            <w:vAlign w:val="center"/>
          </w:tcPr>
          <w:p w14:paraId="38C3F856">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45" w:name="_Toc14619"/>
            <w:bookmarkStart w:id="246" w:name="_Toc17109"/>
            <w:r>
              <w:rPr>
                <w:rFonts w:hint="eastAsia" w:ascii="仿宋" w:hAnsi="仿宋" w:eastAsia="仿宋" w:cs="仿宋"/>
                <w:bCs/>
                <w:snapToGrid/>
                <w:color w:val="000000" w:themeColor="text1"/>
                <w:kern w:val="2"/>
                <w:sz w:val="24"/>
                <w:szCs w:val="24"/>
                <w:lang w:val="zh-CN"/>
                <w14:textFill>
                  <w14:solidFill>
                    <w14:schemeClr w14:val="tx1"/>
                  </w14:solidFill>
                </w14:textFill>
              </w:rPr>
              <w:t>响应文件的封套上应写明</w:t>
            </w:r>
            <w:bookmarkEnd w:id="245"/>
            <w:bookmarkEnd w:id="246"/>
          </w:p>
        </w:tc>
        <w:tc>
          <w:tcPr>
            <w:tcW w:w="7501" w:type="dxa"/>
            <w:vAlign w:val="center"/>
          </w:tcPr>
          <w:p w14:paraId="000E606F">
            <w:pPr>
              <w:numPr>
                <w:ilvl w:val="0"/>
                <w:numId w:val="0"/>
              </w:numPr>
              <w:spacing w:line="300" w:lineRule="exact"/>
              <w:rPr>
                <w:rFonts w:hint="eastAsia" w:ascii="仿宋" w:hAnsi="仿宋" w:eastAsia="仿宋" w:cs="仿宋"/>
                <w:bCs/>
                <w:color w:val="auto"/>
                <w:sz w:val="24"/>
                <w:szCs w:val="24"/>
                <w:highlight w:val="none"/>
              </w:rPr>
            </w:pPr>
            <w:r>
              <w:rPr>
                <w:rFonts w:hint="eastAsia" w:ascii="仿宋" w:hAnsi="仿宋" w:eastAsia="仿宋" w:cs="仿宋"/>
                <w:bCs/>
                <w:snapToGrid w:val="0"/>
                <w:color w:val="auto"/>
                <w:kern w:val="21"/>
                <w:sz w:val="24"/>
                <w:szCs w:val="24"/>
                <w:lang w:val="en-US" w:eastAsia="zh-CN" w:bidi="ar-SA"/>
              </w:rPr>
              <w:t>（1）</w:t>
            </w:r>
            <w:r>
              <w:rPr>
                <w:rFonts w:hint="eastAsia" w:ascii="仿宋" w:hAnsi="仿宋" w:eastAsia="仿宋" w:cs="仿宋"/>
                <w:bCs/>
                <w:color w:val="auto"/>
                <w:sz w:val="24"/>
                <w:szCs w:val="24"/>
                <w:highlight w:val="none"/>
              </w:rPr>
              <w:t>项目名称：</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1767420C">
            <w:pPr>
              <w:numPr>
                <w:ilvl w:val="0"/>
                <w:numId w:val="0"/>
              </w:numPr>
              <w:spacing w:line="300" w:lineRule="exact"/>
              <w:rPr>
                <w:rFonts w:hint="eastAsia" w:ascii="仿宋" w:hAnsi="仿宋" w:eastAsia="仿宋" w:cs="仿宋"/>
                <w:bCs/>
                <w:color w:val="auto"/>
                <w:sz w:val="24"/>
                <w:szCs w:val="24"/>
                <w:highlight w:val="none"/>
              </w:rPr>
            </w:pPr>
            <w:r>
              <w:rPr>
                <w:rFonts w:hint="eastAsia" w:ascii="仿宋" w:hAnsi="仿宋" w:eastAsia="仿宋" w:cs="仿宋"/>
                <w:bCs/>
                <w:snapToGrid w:val="0"/>
                <w:color w:val="auto"/>
                <w:kern w:val="21"/>
                <w:sz w:val="24"/>
                <w:szCs w:val="24"/>
                <w:lang w:val="en-US" w:eastAsia="zh-CN" w:bidi="ar-SA"/>
              </w:rPr>
              <w:t>（2）</w:t>
            </w:r>
            <w:r>
              <w:rPr>
                <w:rFonts w:hint="eastAsia" w:ascii="仿宋" w:hAnsi="仿宋" w:eastAsia="仿宋" w:cs="仿宋"/>
                <w:bCs/>
                <w:color w:val="auto"/>
                <w:sz w:val="24"/>
                <w:szCs w:val="24"/>
                <w:highlight w:val="none"/>
              </w:rPr>
              <w:t>项目编号：</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7781BC38">
            <w:pPr>
              <w:spacing w:line="300" w:lineRule="exac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（3）</w:t>
            </w:r>
            <w:r>
              <w:rPr>
                <w:rFonts w:hint="eastAsia" w:ascii="仿宋" w:hAnsi="仿宋" w:eastAsia="仿宋" w:cs="仿宋"/>
                <w:color w:val="auto"/>
                <w:sz w:val="24"/>
                <w:szCs w:val="24"/>
                <w:highlight w:val="none"/>
              </w:rPr>
              <w:t>采购人</w:t>
            </w:r>
            <w:r>
              <w:rPr>
                <w:rFonts w:hint="eastAsia" w:ascii="仿宋" w:hAnsi="仿宋" w:eastAsia="仿宋" w:cs="仿宋"/>
                <w:bCs/>
                <w:color w:val="auto"/>
                <w:sz w:val="24"/>
                <w:szCs w:val="24"/>
                <w:highlight w:val="none"/>
              </w:rPr>
              <w:t>名称：</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0B488721">
            <w:pPr>
              <w:spacing w:line="300" w:lineRule="exac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（4）供应商名称（盖单位公章）：</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555ADDC7">
            <w:pPr>
              <w:spacing w:line="300" w:lineRule="exac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（5）供应商法定代表人或其委托代理人（签字）：</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76123F8E">
            <w:pPr>
              <w:spacing w:line="300" w:lineRule="exact"/>
              <w:rPr>
                <w:rFonts w:hint="eastAsia"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（6）供应商地址：</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bCs/>
                <w:color w:val="auto"/>
                <w:sz w:val="24"/>
                <w:szCs w:val="24"/>
                <w:highlight w:val="none"/>
              </w:rPr>
              <w:t>；</w:t>
            </w:r>
          </w:p>
          <w:p w14:paraId="6F1A4113">
            <w:pPr>
              <w:spacing w:line="300" w:lineRule="exact"/>
              <w:rPr>
                <w:rFonts w:hint="eastAsia" w:ascii="仿宋" w:hAnsi="仿宋" w:eastAsia="仿宋" w:cs="仿宋"/>
                <w:bCs/>
                <w:snapToGrid/>
                <w:color w:val="000000" w:themeColor="text1"/>
                <w:kern w:val="2"/>
                <w:sz w:val="24"/>
                <w:szCs w:val="24"/>
                <w14:textFill>
                  <w14:solidFill>
                    <w14:schemeClr w14:val="tx1"/>
                  </w14:solidFill>
                </w14:textFill>
              </w:rPr>
            </w:pPr>
            <w:r>
              <w:rPr>
                <w:rFonts w:hint="eastAsia" w:ascii="仿宋" w:hAnsi="仿宋" w:eastAsia="仿宋" w:cs="仿宋"/>
                <w:bCs/>
                <w:color w:val="auto"/>
                <w:sz w:val="24"/>
                <w:szCs w:val="24"/>
                <w:highlight w:val="none"/>
              </w:rPr>
              <w:t>（7）</w:t>
            </w:r>
            <w:r>
              <w:rPr>
                <w:rFonts w:hint="eastAsia" w:ascii="仿宋" w:hAnsi="仿宋" w:eastAsia="仿宋" w:cs="仿宋"/>
                <w:bCs/>
                <w:color w:val="auto"/>
                <w:sz w:val="24"/>
                <w:szCs w:val="24"/>
                <w:highlight w:val="none"/>
                <w:lang w:val="en-US" w:eastAsia="zh-CN"/>
              </w:rPr>
              <w:t>2025年03月31日15时00分</w:t>
            </w:r>
            <w:r>
              <w:rPr>
                <w:rFonts w:hint="eastAsia" w:ascii="仿宋" w:hAnsi="仿宋" w:eastAsia="仿宋" w:cs="仿宋"/>
                <w:bCs/>
                <w:color w:val="auto"/>
                <w:sz w:val="24"/>
                <w:szCs w:val="24"/>
                <w:highlight w:val="none"/>
              </w:rPr>
              <w:t>前不得开启。</w:t>
            </w:r>
          </w:p>
        </w:tc>
      </w:tr>
      <w:tr w14:paraId="5D856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09C23359">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47" w:name="_Toc1949"/>
            <w:bookmarkStart w:id="248" w:name="_Toc6831"/>
            <w:r>
              <w:rPr>
                <w:rFonts w:hint="eastAsia" w:ascii="仿宋" w:hAnsi="仿宋" w:eastAsia="仿宋" w:cs="仿宋"/>
                <w:bCs/>
                <w:snapToGrid/>
                <w:color w:val="000000" w:themeColor="text1"/>
                <w:kern w:val="2"/>
                <w:sz w:val="24"/>
                <w:szCs w:val="24"/>
                <w:lang w:val="zh-CN"/>
                <w14:textFill>
                  <w14:solidFill>
                    <w14:schemeClr w14:val="tx1"/>
                  </w14:solidFill>
                </w14:textFill>
              </w:rPr>
              <w:t>3.7.1</w:t>
            </w:r>
            <w:bookmarkEnd w:id="247"/>
            <w:bookmarkEnd w:id="248"/>
          </w:p>
        </w:tc>
        <w:tc>
          <w:tcPr>
            <w:tcW w:w="1824" w:type="dxa"/>
            <w:vAlign w:val="center"/>
          </w:tcPr>
          <w:p w14:paraId="3D216C77">
            <w:pPr>
              <w:spacing w:line="360" w:lineRule="auto"/>
              <w:jc w:val="center"/>
              <w:outlineLvl w:val="0"/>
              <w:rPr>
                <w:rFonts w:hint="eastAsia" w:ascii="仿宋" w:hAnsi="仿宋" w:eastAsia="仿宋" w:cs="仿宋"/>
                <w:bCs/>
                <w:snapToGrid/>
                <w:color w:val="000000" w:themeColor="text1"/>
                <w:kern w:val="2"/>
                <w:sz w:val="24"/>
                <w:szCs w:val="24"/>
                <w:lang w:val="zh-CN"/>
                <w14:textFill>
                  <w14:solidFill>
                    <w14:schemeClr w14:val="tx1"/>
                  </w14:solidFill>
                </w14:textFill>
              </w:rPr>
            </w:pPr>
            <w:bookmarkStart w:id="249" w:name="_Toc12491"/>
            <w:bookmarkStart w:id="250" w:name="_Toc9932"/>
            <w:r>
              <w:rPr>
                <w:rFonts w:hint="eastAsia" w:ascii="仿宋" w:hAnsi="仿宋" w:eastAsia="仿宋" w:cs="仿宋"/>
                <w:bCs/>
                <w:snapToGrid/>
                <w:color w:val="000000" w:themeColor="text1"/>
                <w:kern w:val="2"/>
                <w:sz w:val="24"/>
                <w:szCs w:val="24"/>
                <w:lang w:val="zh-CN"/>
                <w14:textFill>
                  <w14:solidFill>
                    <w14:schemeClr w14:val="tx1"/>
                  </w14:solidFill>
                </w14:textFill>
              </w:rPr>
              <w:t>响应文件递交的截止时间和地点</w:t>
            </w:r>
            <w:bookmarkEnd w:id="249"/>
            <w:bookmarkEnd w:id="250"/>
          </w:p>
        </w:tc>
        <w:tc>
          <w:tcPr>
            <w:tcW w:w="7501" w:type="dxa"/>
            <w:vAlign w:val="center"/>
          </w:tcPr>
          <w:p w14:paraId="4378F3FA">
            <w:pPr>
              <w:spacing w:line="360" w:lineRule="auto"/>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251" w:name="_Toc28437"/>
            <w:bookmarkStart w:id="252" w:name="_Toc6361"/>
            <w:r>
              <w:rPr>
                <w:rFonts w:hint="eastAsia" w:ascii="仿宋" w:hAnsi="仿宋" w:eastAsia="仿宋" w:cs="仿宋"/>
                <w:bCs/>
                <w:snapToGrid w:val="0"/>
                <w:color w:val="auto"/>
                <w:kern w:val="21"/>
                <w:sz w:val="24"/>
                <w:szCs w:val="24"/>
                <w:lang w:val="en-US" w:eastAsia="zh-CN" w:bidi="ar-SA"/>
              </w:rPr>
              <w:t>（1）</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截止时间：2025年03月31日15时00分（北京时间）。</w:t>
            </w:r>
            <w:bookmarkEnd w:id="251"/>
            <w:bookmarkEnd w:id="252"/>
          </w:p>
          <w:p w14:paraId="5D830179">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53" w:name="_Toc4283"/>
            <w:bookmarkStart w:id="254" w:name="_Toc6506"/>
            <w:r>
              <w:rPr>
                <w:rFonts w:hint="eastAsia" w:ascii="仿宋" w:hAnsi="仿宋" w:eastAsia="仿宋" w:cs="仿宋"/>
                <w:bCs/>
                <w:snapToGrid w:val="0"/>
                <w:color w:val="auto"/>
                <w:kern w:val="21"/>
                <w:sz w:val="24"/>
                <w:szCs w:val="24"/>
                <w:lang w:val="en-US" w:eastAsia="zh-CN" w:bidi="ar-SA"/>
              </w:rPr>
              <w:t>（2）</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地点：云南中招招标有限公司会议室（西双版纳州旅游度假区曼弄枫山水林溪铺面7一06）。</w:t>
            </w:r>
            <w:bookmarkEnd w:id="253"/>
            <w:bookmarkEnd w:id="254"/>
          </w:p>
        </w:tc>
      </w:tr>
      <w:tr w14:paraId="17CAB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2E0EBD85">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4.1</w:t>
            </w:r>
          </w:p>
        </w:tc>
        <w:tc>
          <w:tcPr>
            <w:tcW w:w="1824" w:type="dxa"/>
            <w:vAlign w:val="center"/>
          </w:tcPr>
          <w:p w14:paraId="5EBBD0FF">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eastAsia="zh-CN"/>
                <w14:textFill>
                  <w14:solidFill>
                    <w14:schemeClr w14:val="tx1"/>
                  </w14:solidFill>
                </w14:textFill>
              </w:rPr>
              <w:t>磋商</w:t>
            </w:r>
            <w:r>
              <w:rPr>
                <w:rFonts w:hint="eastAsia" w:ascii="仿宋" w:hAnsi="仿宋" w:eastAsia="仿宋" w:cs="仿宋"/>
                <w:color w:val="000000" w:themeColor="text1"/>
                <w:sz w:val="24"/>
                <w:szCs w:val="24"/>
                <w14:textFill>
                  <w14:solidFill>
                    <w14:schemeClr w14:val="tx1"/>
                  </w14:solidFill>
                </w14:textFill>
              </w:rPr>
              <w:t>时间（即开标时间）和地点</w:t>
            </w:r>
          </w:p>
        </w:tc>
        <w:tc>
          <w:tcPr>
            <w:tcW w:w="7501" w:type="dxa"/>
            <w:vAlign w:val="center"/>
          </w:tcPr>
          <w:p w14:paraId="42615AF8">
            <w:pPr>
              <w:spacing w:line="360" w:lineRule="auto"/>
              <w:outlineLvl w:val="0"/>
              <w:rPr>
                <w:rFonts w:hint="eastAsia" w:ascii="仿宋" w:hAnsi="仿宋" w:eastAsia="仿宋" w:cs="仿宋"/>
                <w:bCs/>
                <w:snapToGrid/>
                <w:color w:val="000000" w:themeColor="text1"/>
                <w:kern w:val="2"/>
                <w:sz w:val="24"/>
                <w:szCs w:val="24"/>
                <w:lang w:val="en-US" w:eastAsia="zh-CN"/>
                <w14:textFill>
                  <w14:solidFill>
                    <w14:schemeClr w14:val="tx1"/>
                  </w14:solidFill>
                </w14:textFill>
              </w:rPr>
            </w:pPr>
            <w:bookmarkStart w:id="255" w:name="_Toc19304"/>
            <w:bookmarkStart w:id="256" w:name="_Toc29390"/>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（1）截止时间：</w:t>
            </w:r>
            <w:r>
              <w:rPr>
                <w:rFonts w:hint="eastAsia" w:ascii="仿宋" w:hAnsi="仿宋" w:eastAsia="仿宋" w:cs="仿宋"/>
                <w:bCs/>
                <w:color w:val="auto"/>
                <w:sz w:val="24"/>
                <w:szCs w:val="24"/>
                <w:highlight w:val="none"/>
                <w:lang w:val="en-US" w:eastAsia="zh-CN"/>
              </w:rPr>
              <w:t>2025年03月31日15时00分</w:t>
            </w:r>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（北京时间）。</w:t>
            </w:r>
            <w:bookmarkEnd w:id="255"/>
            <w:bookmarkEnd w:id="256"/>
          </w:p>
          <w:p w14:paraId="3E61B805">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57" w:name="_Toc23833"/>
            <w:bookmarkStart w:id="258" w:name="_Toc30639"/>
            <w:r>
              <w:rPr>
                <w:rFonts w:hint="eastAsia" w:ascii="仿宋" w:hAnsi="仿宋" w:eastAsia="仿宋" w:cs="仿宋"/>
                <w:bCs/>
                <w:snapToGrid/>
                <w:color w:val="000000" w:themeColor="text1"/>
                <w:kern w:val="2"/>
                <w:sz w:val="24"/>
                <w:szCs w:val="24"/>
                <w:lang w:val="en-US" w:eastAsia="zh-CN"/>
                <w14:textFill>
                  <w14:solidFill>
                    <w14:schemeClr w14:val="tx1"/>
                  </w14:solidFill>
                </w14:textFill>
              </w:rPr>
              <w:t>（2）地点：云南中招招标有限公司会议室（西双版纳州旅游度假区曼弄枫山水林溪铺面7一06）。</w:t>
            </w:r>
            <w:bookmarkEnd w:id="257"/>
            <w:bookmarkEnd w:id="258"/>
          </w:p>
        </w:tc>
      </w:tr>
      <w:tr w14:paraId="6FD4B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30" w:type="dxa"/>
            <w:vAlign w:val="center"/>
          </w:tcPr>
          <w:p w14:paraId="602605B3">
            <w:pPr>
              <w:spacing w:line="360" w:lineRule="auto"/>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5</w:t>
            </w:r>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1</w:t>
            </w:r>
          </w:p>
        </w:tc>
        <w:tc>
          <w:tcPr>
            <w:tcW w:w="1824" w:type="dxa"/>
            <w:vAlign w:val="center"/>
          </w:tcPr>
          <w:p w14:paraId="425DDFBC">
            <w:pPr>
              <w:pStyle w:val="34"/>
              <w:spacing w:before="0" w:beforeAutospacing="0" w:after="0" w:afterAutospacing="0" w:line="360" w:lineRule="auto"/>
              <w:ind w:left="-31" w:leftChars="-15"/>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磋商小组</w:t>
            </w:r>
          </w:p>
        </w:tc>
        <w:tc>
          <w:tcPr>
            <w:tcW w:w="7501" w:type="dxa"/>
            <w:vAlign w:val="center"/>
          </w:tcPr>
          <w:p w14:paraId="2DD17F28">
            <w:pPr>
              <w:spacing w:line="360" w:lineRule="auto"/>
              <w:outlineLvl w:val="0"/>
              <w:rPr>
                <w:rFonts w:hint="eastAsia" w:ascii="仿宋" w:hAnsi="仿宋" w:eastAsia="仿宋" w:cs="仿宋"/>
                <w:bCs/>
                <w:snapToGrid/>
                <w:color w:val="000000" w:themeColor="text1"/>
                <w:kern w:val="2"/>
                <w:sz w:val="24"/>
                <w:szCs w:val="24"/>
                <w14:textFill>
                  <w14:solidFill>
                    <w14:schemeClr w14:val="tx1"/>
                  </w14:solidFill>
                </w14:textFill>
              </w:rPr>
            </w:pPr>
            <w:bookmarkStart w:id="259" w:name="_Toc10444"/>
            <w:bookmarkStart w:id="260" w:name="_Toc27314"/>
            <w:bookmarkStart w:id="261" w:name="_Toc10068"/>
            <w:r>
              <w:rPr>
                <w:rFonts w:hint="eastAsia" w:ascii="仿宋" w:hAnsi="仿宋" w:eastAsia="仿宋" w:cs="仿宋"/>
                <w:bCs/>
                <w:snapToGrid/>
                <w:color w:val="000000" w:themeColor="text1"/>
                <w:kern w:val="2"/>
                <w:sz w:val="24"/>
                <w:szCs w:val="24"/>
                <w14:textFill>
                  <w14:solidFill>
                    <w14:schemeClr w14:val="tx1"/>
                  </w14:solidFill>
                </w14:textFill>
              </w:rPr>
              <w:t>磋商小组由采购人依法组建，磋商由磋商小组负责。磋商小组由采购人代表和评审专家共3人以上单数组成，其中评审专家人数不得少于磋商小组成员总数的2/3。</w:t>
            </w:r>
            <w:bookmarkEnd w:id="259"/>
            <w:bookmarkEnd w:id="260"/>
            <w:bookmarkEnd w:id="261"/>
          </w:p>
        </w:tc>
      </w:tr>
      <w:tr w14:paraId="2EAB5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2" w:hRule="atLeast"/>
        </w:trPr>
        <w:tc>
          <w:tcPr>
            <w:tcW w:w="730" w:type="dxa"/>
            <w:vAlign w:val="center"/>
          </w:tcPr>
          <w:p w14:paraId="7B39BFAC">
            <w:pPr>
              <w:spacing w:line="360" w:lineRule="auto"/>
              <w:jc w:val="center"/>
              <w:rPr>
                <w:rFonts w:hint="eastAsia" w:ascii="仿宋" w:hAnsi="仿宋" w:eastAsia="仿宋" w:cs="仿宋"/>
                <w:color w:val="000000" w:themeColor="text1"/>
                <w:sz w:val="24"/>
                <w:szCs w:val="24"/>
                <w:lang w:val="en-US" w:eastAsia="zh-CN"/>
                <w14:textFill>
                  <w14:solidFill>
                    <w14:schemeClr w14:val="tx1"/>
                  </w14:solidFill>
                </w14:textFill>
              </w:rPr>
            </w:pPr>
            <w:bookmarkStart w:id="262" w:name="_Toc46924536"/>
            <w:r>
              <w:rPr>
                <w:rFonts w:hint="eastAsia" w:ascii="仿宋" w:hAnsi="仿宋" w:eastAsia="仿宋" w:cs="仿宋"/>
                <w:color w:val="000000" w:themeColor="text1"/>
                <w:sz w:val="24"/>
                <w:szCs w:val="24"/>
                <w:lang w:val="en-US" w:eastAsia="zh-CN"/>
                <w14:textFill>
                  <w14:solidFill>
                    <w14:schemeClr w14:val="tx1"/>
                  </w14:solidFill>
                </w14:textFill>
              </w:rPr>
              <w:t>10.1</w:t>
            </w:r>
          </w:p>
        </w:tc>
        <w:tc>
          <w:tcPr>
            <w:tcW w:w="1824" w:type="dxa"/>
            <w:vAlign w:val="center"/>
          </w:tcPr>
          <w:p w14:paraId="01061459">
            <w:pPr>
              <w:pStyle w:val="34"/>
              <w:spacing w:before="0" w:beforeAutospacing="0" w:after="0" w:afterAutospacing="0" w:line="360" w:lineRule="auto"/>
              <w:ind w:left="-31" w:leftChars="-15"/>
              <w:jc w:val="cente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63" w:name="_Toc482343752"/>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履约保证金</w:t>
            </w:r>
            <w:bookmarkEnd w:id="263"/>
          </w:p>
        </w:tc>
        <w:tc>
          <w:tcPr>
            <w:tcW w:w="7501" w:type="dxa"/>
            <w:vAlign w:val="center"/>
          </w:tcPr>
          <w:p w14:paraId="46DAEFF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履约保证金的形式：/</w:t>
            </w:r>
          </w:p>
          <w:p w14:paraId="75A5EA8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履约保证金的金额：/</w:t>
            </w:r>
          </w:p>
          <w:p w14:paraId="280E7184">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bookmarkStart w:id="264" w:name="_Toc12690"/>
            <w:bookmarkStart w:id="265" w:name="_Toc18751"/>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提交时间：/</w:t>
            </w:r>
            <w:bookmarkEnd w:id="264"/>
            <w:bookmarkEnd w:id="265"/>
          </w:p>
        </w:tc>
      </w:tr>
      <w:tr w14:paraId="554DE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2" w:hRule="atLeast"/>
        </w:trPr>
        <w:tc>
          <w:tcPr>
            <w:tcW w:w="730" w:type="dxa"/>
            <w:vAlign w:val="center"/>
          </w:tcPr>
          <w:p w14:paraId="0B2931DF">
            <w:pPr>
              <w:spacing w:line="360" w:lineRule="auto"/>
              <w:jc w:val="center"/>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12</w:t>
            </w:r>
          </w:p>
        </w:tc>
        <w:tc>
          <w:tcPr>
            <w:tcW w:w="1824" w:type="dxa"/>
            <w:vAlign w:val="center"/>
          </w:tcPr>
          <w:p w14:paraId="1D981938">
            <w:pPr>
              <w:pStyle w:val="34"/>
              <w:spacing w:before="0" w:beforeAutospacing="0" w:after="0" w:afterAutospacing="0" w:line="360" w:lineRule="auto"/>
              <w:ind w:left="-31" w:leftChars="-15"/>
              <w:jc w:val="cente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其他补充事宜</w:t>
            </w:r>
          </w:p>
        </w:tc>
        <w:tc>
          <w:tcPr>
            <w:tcW w:w="7501" w:type="dxa"/>
            <w:vAlign w:val="center"/>
          </w:tcPr>
          <w:p w14:paraId="666F0BFA">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1.中小企业政策：根据《财政部关于进一步加大政府采购支持中小企业力度的通知》（财库〔2022〕19号），当对符合规定的小微企业报价给</w:t>
            </w:r>
            <w:r>
              <w:rPr>
                <w:rFonts w:hint="eastAsia" w:ascii="仿宋" w:hAnsi="仿宋" w:eastAsia="仿宋" w:cs="仿宋"/>
                <w:bCs/>
                <w:snapToGrid/>
                <w:color w:val="0000FF"/>
                <w:kern w:val="2"/>
                <w:sz w:val="24"/>
                <w:szCs w:val="24"/>
                <w:lang w:val="en-US" w:eastAsia="zh-CN" w:bidi="ar-SA"/>
              </w:rPr>
              <w:t>予10%的扣除</w:t>
            </w: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，用扣除后的价格参加评审。</w:t>
            </w:r>
          </w:p>
          <w:p w14:paraId="1D1E299B">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
                <w:bCs w:val="0"/>
                <w:snapToGrid/>
                <w:color w:val="000000" w:themeColor="text1"/>
                <w:kern w:val="2"/>
                <w:sz w:val="24"/>
                <w:szCs w:val="24"/>
                <w:lang w:val="en-US" w:eastAsia="zh-CN" w:bidi="ar-SA"/>
                <w14:textFill>
                  <w14:solidFill>
                    <w14:schemeClr w14:val="tx1"/>
                  </w14:solidFill>
                </w14:textFill>
              </w:rPr>
              <w:t>注：监狱企业、残疾人福利性单位视同小微企业</w:t>
            </w: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w:t>
            </w:r>
          </w:p>
          <w:p w14:paraId="563A92D2">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2.本项目采购标的对应所属行业为：</w:t>
            </w:r>
            <w:r>
              <w:rPr>
                <w:rFonts w:hint="eastAsia" w:ascii="仿宋" w:hAnsi="仿宋" w:eastAsia="仿宋" w:cs="仿宋"/>
                <w:b/>
                <w:bCs w:val="0"/>
                <w:snapToGrid/>
                <w:color w:val="000000" w:themeColor="text1"/>
                <w:kern w:val="2"/>
                <w:sz w:val="24"/>
                <w:szCs w:val="24"/>
                <w:u w:val="single"/>
                <w:lang w:val="en-US" w:eastAsia="zh-CN" w:bidi="ar-SA"/>
                <w14:textFill>
                  <w14:solidFill>
                    <w14:schemeClr w14:val="tx1"/>
                  </w14:solidFill>
                </w14:textFill>
              </w:rPr>
              <w:t>其他未列明行业</w:t>
            </w: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w:t>
            </w:r>
          </w:p>
          <w:p w14:paraId="40D7E7DC">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①标的名称：</w:t>
            </w:r>
            <w:r>
              <w:rPr>
                <w:rFonts w:hint="eastAsia" w:ascii="仿宋" w:hAnsi="仿宋" w:eastAsia="仿宋" w:cs="仿宋"/>
                <w:color w:val="000000" w:themeColor="text1"/>
                <w:sz w:val="24"/>
                <w:szCs w:val="24"/>
                <w:lang w:eastAsia="zh-CN"/>
                <w14:textFill>
                  <w14:solidFill>
                    <w14:schemeClr w14:val="tx1"/>
                  </w14:solidFill>
                </w14:textFill>
              </w:rPr>
              <w:t>国家重点生态功能区景洪市南昆河流域农村生活污水治理工程监理服务</w:t>
            </w: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w:t>
            </w:r>
          </w:p>
          <w:p w14:paraId="2B58A924">
            <w:pPr>
              <w:spacing w:line="360" w:lineRule="auto"/>
              <w:outlineLvl w:val="0"/>
              <w:rPr>
                <w:rFonts w:hint="eastAsia" w:ascii="仿宋" w:hAnsi="仿宋" w:eastAsia="仿宋" w:cs="仿宋"/>
                <w:bCs/>
                <w:snapToGrid/>
                <w:color w:val="auto"/>
                <w:kern w:val="2"/>
                <w:sz w:val="24"/>
                <w:szCs w:val="24"/>
                <w:lang w:val="en-US" w:eastAsia="zh-CN" w:bidi="ar-SA"/>
              </w:rPr>
            </w:pPr>
            <w:r>
              <w:rPr>
                <w:rFonts w:hint="eastAsia" w:ascii="仿宋" w:hAnsi="仿宋" w:eastAsia="仿宋" w:cs="仿宋"/>
                <w:bCs/>
                <w:snapToGrid/>
                <w:color w:val="auto"/>
                <w:kern w:val="2"/>
                <w:sz w:val="24"/>
                <w:szCs w:val="24"/>
                <w:lang w:val="en-US" w:eastAsia="zh-CN" w:bidi="ar-SA"/>
              </w:rPr>
              <w:t>②其他未列明行业。从业人员300人以下的为中小微型企业。其中，从业人员100人及以上的为中型企业;从业人员10人及以上的为小型企业;从业人员10人以下的为微型企业。</w:t>
            </w:r>
          </w:p>
          <w:p w14:paraId="4AF4E2FC">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③企业划分指标以现行统计制度为准。营业收入，采用主营业务收入；资产总额，采用资产总计代替。</w:t>
            </w:r>
          </w:p>
          <w:p w14:paraId="44891DEA">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④价格扣除优惠政策：见第三章“磋商总报价评分”。</w:t>
            </w:r>
          </w:p>
          <w:p w14:paraId="1E176BAD">
            <w:pPr>
              <w:spacing w:line="360" w:lineRule="auto"/>
              <w:outlineLvl w:val="0"/>
              <w:rPr>
                <w:rFonts w:hint="default"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注：《中小企业声明函》格式详见竞争性磋商文件第四章 响应文件格式 “四、落实政府采购政策需提供的证明材料 ”</w:t>
            </w:r>
          </w:p>
          <w:p w14:paraId="5C959794">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3.监狱企业</w:t>
            </w:r>
          </w:p>
          <w:p w14:paraId="116DB32E">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根据《关于政府采购支持监狱企业发展有关问题的通知》（财库[2014]68号）的规定，监狱企业参与本项目磋商时，视同小型、微型企业。</w:t>
            </w:r>
          </w:p>
          <w:p w14:paraId="06EA9EA1">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注：监狱企业参加政府采购活动时，应当提供由省级以上监狱管理局、戒毒管理局(含新疆生产建设兵团)出具的属于监狱企业的证明文件。</w:t>
            </w:r>
          </w:p>
          <w:p w14:paraId="60DEF8A5">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4.残疾人福利性单位</w:t>
            </w:r>
          </w:p>
          <w:p w14:paraId="76EAC876">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根据《关于促进残疾人就业政府采购政策的通知》（财库[2017]141号）的规定，残疾人福利性单位参与本项目磋商时，视同小型、微型企业。</w:t>
            </w:r>
          </w:p>
          <w:p w14:paraId="2E7FF5C2">
            <w:pPr>
              <w:spacing w:line="360" w:lineRule="auto"/>
              <w:outlineLvl w:val="0"/>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pPr>
            <w:r>
              <w:rPr>
                <w:rFonts w:hint="eastAsia" w:ascii="仿宋" w:hAnsi="仿宋" w:eastAsia="仿宋" w:cs="仿宋"/>
                <w:bCs/>
                <w:snapToGrid/>
                <w:color w:val="000000" w:themeColor="text1"/>
                <w:kern w:val="2"/>
                <w:sz w:val="24"/>
                <w:szCs w:val="24"/>
                <w:lang w:val="en-US" w:eastAsia="zh-CN" w:bidi="ar-SA"/>
                <w14:textFill>
                  <w14:solidFill>
                    <w14:schemeClr w14:val="tx1"/>
                  </w14:solidFill>
                </w14:textFill>
              </w:rPr>
              <w:t>注：残疾人福利性单位在参加政府采购活动时，应当提供《残疾人福利性单位声明函》，并对声明的真实性负责。成交单位为残疾人福利性单位的，采购人或者其委托的采购代理机构应当随成交、成交结果同时公告其《残疾人福利性单位声明函》，接受社会监督。《残疾人福利性单位声明函》格式详见竞争性磋商文件争性磋商文件第四章 响应文件格式 “四、落实政府采购政策需提供的证明材料 ”</w:t>
            </w:r>
          </w:p>
        </w:tc>
      </w:tr>
    </w:tbl>
    <w:p w14:paraId="351B06B5">
      <w:pPr>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br w:type="page"/>
      </w:r>
    </w:p>
    <w:p w14:paraId="5B4B05EB">
      <w:pPr>
        <w:pStyle w:val="3"/>
        <w:keepNext w:val="0"/>
        <w:keepLines w:val="0"/>
        <w:spacing w:before="240" w:after="240" w:line="360" w:lineRule="auto"/>
        <w:jc w:val="both"/>
        <w:rPr>
          <w:rFonts w:hint="eastAsia" w:ascii="仿宋" w:hAnsi="仿宋" w:eastAsia="仿宋" w:cs="仿宋"/>
          <w:b/>
          <w:color w:val="000000" w:themeColor="text1"/>
          <w:kern w:val="0"/>
          <w:sz w:val="28"/>
          <w:szCs w:val="28"/>
          <w14:textFill>
            <w14:solidFill>
              <w14:schemeClr w14:val="tx1"/>
            </w14:solidFill>
          </w14:textFill>
        </w:rPr>
      </w:pPr>
      <w:bookmarkStart w:id="266" w:name="_Toc6428"/>
      <w:r>
        <w:rPr>
          <w:rFonts w:hint="eastAsia" w:ascii="仿宋" w:hAnsi="仿宋" w:eastAsia="仿宋" w:cs="仿宋"/>
          <w:b/>
          <w:color w:val="000000" w:themeColor="text1"/>
          <w:kern w:val="0"/>
          <w:sz w:val="28"/>
          <w:szCs w:val="28"/>
          <w:lang w:val="en-US" w:eastAsia="zh-CN"/>
          <w14:textFill>
            <w14:solidFill>
              <w14:schemeClr w14:val="tx1"/>
            </w14:solidFill>
          </w14:textFill>
        </w:rPr>
        <w:t>1.</w:t>
      </w:r>
      <w:r>
        <w:rPr>
          <w:rFonts w:hint="eastAsia" w:ascii="仿宋" w:hAnsi="仿宋" w:eastAsia="仿宋" w:cs="仿宋"/>
          <w:b/>
          <w:color w:val="000000" w:themeColor="text1"/>
          <w:kern w:val="0"/>
          <w:sz w:val="28"/>
          <w:szCs w:val="28"/>
          <w14:textFill>
            <w14:solidFill>
              <w14:schemeClr w14:val="tx1"/>
            </w14:solidFill>
          </w14:textFill>
        </w:rPr>
        <w:t>总则</w:t>
      </w:r>
      <w:bookmarkEnd w:id="262"/>
      <w:bookmarkEnd w:id="266"/>
    </w:p>
    <w:p w14:paraId="6DFE5B38">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bookmarkStart w:id="267" w:name="_Toc46924537"/>
      <w:bookmarkStart w:id="268" w:name="_Toc6481"/>
      <w:bookmarkStart w:id="269" w:name="_Toc46924574"/>
      <w:r>
        <w:rPr>
          <w:rFonts w:hint="eastAsia" w:ascii="仿宋" w:hAnsi="仿宋" w:eastAsia="仿宋" w:cs="仿宋"/>
          <w:b/>
          <w:bCs/>
          <w:color w:val="000000" w:themeColor="text1"/>
          <w:sz w:val="28"/>
          <w:szCs w:val="28"/>
          <w:lang w:val="en-US" w:eastAsia="zh-CN"/>
          <w14:textFill>
            <w14:solidFill>
              <w14:schemeClr w14:val="tx1"/>
            </w14:solidFill>
          </w14:textFill>
        </w:rPr>
        <w:t>1.</w:t>
      </w:r>
      <w:r>
        <w:rPr>
          <w:rFonts w:hint="eastAsia" w:ascii="仿宋" w:hAnsi="仿宋" w:eastAsia="仿宋" w:cs="仿宋"/>
          <w:b/>
          <w:bCs/>
          <w:color w:val="000000" w:themeColor="text1"/>
          <w:sz w:val="28"/>
          <w:szCs w:val="28"/>
          <w14:textFill>
            <w14:solidFill>
              <w14:schemeClr w14:val="tx1"/>
            </w14:solidFill>
          </w14:textFill>
        </w:rPr>
        <w:t>1项目概况</w:t>
      </w:r>
      <w:bookmarkEnd w:id="267"/>
      <w:bookmarkEnd w:id="268"/>
    </w:p>
    <w:p w14:paraId="3A4D3E6B">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1.1</w:t>
      </w:r>
      <w:r>
        <w:rPr>
          <w:rFonts w:hint="eastAsia" w:ascii="仿宋" w:hAnsi="仿宋" w:eastAsia="仿宋" w:cs="仿宋"/>
          <w:color w:val="000000" w:themeColor="text1"/>
          <w:sz w:val="28"/>
          <w:szCs w:val="28"/>
          <w:lang w:eastAsia="zh-CN"/>
          <w14:textFill>
            <w14:solidFill>
              <w14:schemeClr w14:val="tx1"/>
            </w14:solidFill>
          </w14:textFill>
        </w:rPr>
        <w:t>参照</w:t>
      </w:r>
      <w:r>
        <w:rPr>
          <w:rFonts w:hint="eastAsia" w:ascii="仿宋" w:hAnsi="仿宋" w:eastAsia="仿宋" w:cs="仿宋"/>
          <w:color w:val="000000" w:themeColor="text1"/>
          <w:sz w:val="28"/>
          <w:szCs w:val="28"/>
          <w14:textFill>
            <w14:solidFill>
              <w14:schemeClr w14:val="tx1"/>
            </w14:solidFill>
          </w14:textFill>
        </w:rPr>
        <w:t>《中华人民共和国政府采购法》、《中华人民共和国政府采购法实施条例》、《政府采购竞争性磋商采购方式管理暂行办法》等有关法律、法规和规章的规定,经相关主管部门批准，采购代理机构受采购人委托，采用竞争性磋商方式选定供应商承担本项目。</w:t>
      </w:r>
    </w:p>
    <w:p w14:paraId="175A5E27">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1.2采购人：详见《供应商须知前附表》。</w:t>
      </w:r>
    </w:p>
    <w:p w14:paraId="67EFE6E1">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1.3采购代理机构：详见《供应商须知前附表》。</w:t>
      </w:r>
    </w:p>
    <w:p w14:paraId="65833C5B">
      <w:pPr>
        <w:spacing w:line="360" w:lineRule="auto"/>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1.4项目名称</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详见《供应商须知前附表》</w:t>
      </w:r>
      <w:r>
        <w:rPr>
          <w:rFonts w:hint="eastAsia" w:ascii="仿宋" w:hAnsi="仿宋" w:eastAsia="仿宋" w:cs="仿宋"/>
          <w:color w:val="000000" w:themeColor="text1"/>
          <w:sz w:val="28"/>
          <w:szCs w:val="28"/>
          <w:lang w:eastAsia="zh-CN"/>
          <w14:textFill>
            <w14:solidFill>
              <w14:schemeClr w14:val="tx1"/>
            </w14:solidFill>
          </w14:textFill>
        </w:rPr>
        <w:t>。</w:t>
      </w:r>
    </w:p>
    <w:p w14:paraId="165EB2A9">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1.1.5</w:t>
      </w:r>
      <w:r>
        <w:rPr>
          <w:rFonts w:hint="eastAsia" w:ascii="仿宋" w:hAnsi="仿宋" w:eastAsia="仿宋" w:cs="仿宋"/>
          <w:color w:val="000000" w:themeColor="text1"/>
          <w:sz w:val="28"/>
          <w:szCs w:val="28"/>
          <w14:textFill>
            <w14:solidFill>
              <w14:schemeClr w14:val="tx1"/>
            </w14:solidFill>
          </w14:textFill>
        </w:rPr>
        <w:t>项目编号：详见《供应商须知前附表》。</w:t>
      </w:r>
    </w:p>
    <w:p w14:paraId="284A54E8">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snapToGrid/>
          <w:color w:val="000000" w:themeColor="text1"/>
          <w:kern w:val="2"/>
          <w:sz w:val="28"/>
          <w:szCs w:val="28"/>
          <w14:textFill>
            <w14:solidFill>
              <w14:schemeClr w14:val="tx1"/>
            </w14:solidFill>
          </w14:textFill>
        </w:rPr>
        <w:t>1.1.6</w:t>
      </w:r>
      <w:r>
        <w:rPr>
          <w:rFonts w:hint="eastAsia" w:ascii="仿宋" w:hAnsi="仿宋" w:eastAsia="仿宋" w:cs="仿宋"/>
          <w:sz w:val="28"/>
          <w:szCs w:val="28"/>
        </w:rPr>
        <w:t>预算金额</w:t>
      </w:r>
      <w:r>
        <w:rPr>
          <w:rFonts w:hint="eastAsia" w:ascii="仿宋" w:hAnsi="仿宋" w:eastAsia="仿宋" w:cs="仿宋"/>
          <w:color w:val="000000" w:themeColor="text1"/>
          <w:sz w:val="28"/>
          <w:szCs w:val="28"/>
          <w14:textFill>
            <w14:solidFill>
              <w14:schemeClr w14:val="tx1"/>
            </w14:solidFill>
          </w14:textFill>
        </w:rPr>
        <w:t>：详见《供应商须知前附表》。</w:t>
      </w:r>
    </w:p>
    <w:p w14:paraId="06DC8666">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1.1.7</w:t>
      </w:r>
      <w:r>
        <w:rPr>
          <w:rFonts w:hint="eastAsia" w:ascii="仿宋" w:hAnsi="仿宋" w:eastAsia="仿宋" w:cs="仿宋"/>
          <w:sz w:val="28"/>
          <w:szCs w:val="28"/>
          <w:lang w:eastAsia="zh-CN"/>
        </w:rPr>
        <w:t>最高限价</w:t>
      </w:r>
      <w:r>
        <w:rPr>
          <w:rFonts w:hint="eastAsia" w:ascii="仿宋" w:hAnsi="仿宋" w:eastAsia="仿宋" w:cs="仿宋"/>
          <w:color w:val="000000" w:themeColor="text1"/>
          <w:sz w:val="28"/>
          <w:szCs w:val="28"/>
          <w14:textFill>
            <w14:solidFill>
              <w14:schemeClr w14:val="tx1"/>
            </w14:solidFill>
          </w14:textFill>
        </w:rPr>
        <w:t>：详见《供应商须知前附表》。</w:t>
      </w:r>
    </w:p>
    <w:p w14:paraId="0EBE0BCA">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1.1.8</w:t>
      </w:r>
      <w:r>
        <w:rPr>
          <w:rFonts w:hint="eastAsia" w:ascii="仿宋" w:hAnsi="仿宋" w:eastAsia="仿宋" w:cs="仿宋"/>
          <w:color w:val="000000" w:themeColor="text1"/>
          <w:sz w:val="28"/>
          <w:szCs w:val="28"/>
          <w:lang w:eastAsia="zh-CN"/>
          <w14:textFill>
            <w14:solidFill>
              <w14:schemeClr w14:val="tx1"/>
            </w14:solidFill>
          </w14:textFill>
        </w:rPr>
        <w:t>资金来源：</w:t>
      </w:r>
      <w:r>
        <w:rPr>
          <w:rFonts w:hint="eastAsia" w:ascii="仿宋" w:hAnsi="仿宋" w:eastAsia="仿宋" w:cs="仿宋"/>
          <w:color w:val="000000" w:themeColor="text1"/>
          <w:sz w:val="28"/>
          <w:szCs w:val="28"/>
          <w14:textFill>
            <w14:solidFill>
              <w14:schemeClr w14:val="tx1"/>
            </w14:solidFill>
          </w14:textFill>
        </w:rPr>
        <w:t>详见《供应商须知前附表》。</w:t>
      </w:r>
    </w:p>
    <w:p w14:paraId="284E432E">
      <w:pPr>
        <w:spacing w:line="360" w:lineRule="auto"/>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1.1.9</w:t>
      </w:r>
      <w:r>
        <w:rPr>
          <w:rFonts w:hint="eastAsia" w:ascii="仿宋" w:hAnsi="仿宋" w:eastAsia="仿宋" w:cs="仿宋"/>
          <w:snapToGrid w:val="0"/>
          <w:color w:val="000000" w:themeColor="text1"/>
          <w:kern w:val="21"/>
          <w:sz w:val="28"/>
          <w:szCs w:val="28"/>
          <w:lang w:val="en-US" w:eastAsia="zh-CN" w:bidi="ar-SA"/>
          <w14:textFill>
            <w14:solidFill>
              <w14:schemeClr w14:val="tx1"/>
            </w14:solidFill>
          </w14:textFill>
        </w:rPr>
        <w:t>采购方式</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详见《供应商须知前附表》。</w:t>
      </w:r>
    </w:p>
    <w:p w14:paraId="244BE52B">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1.1.10</w:t>
      </w:r>
      <w:r>
        <w:rPr>
          <w:rFonts w:hint="eastAsia" w:ascii="仿宋" w:hAnsi="仿宋" w:eastAsia="仿宋" w:cs="仿宋"/>
          <w:color w:val="000000" w:themeColor="text1"/>
          <w:sz w:val="28"/>
          <w:szCs w:val="28"/>
          <w:lang w:eastAsia="zh-CN"/>
          <w14:textFill>
            <w14:solidFill>
              <w14:schemeClr w14:val="tx1"/>
            </w14:solidFill>
          </w14:textFill>
        </w:rPr>
        <w:t>服务</w:t>
      </w:r>
      <w:r>
        <w:rPr>
          <w:rFonts w:hint="eastAsia" w:ascii="仿宋" w:hAnsi="仿宋" w:eastAsia="仿宋" w:cs="仿宋"/>
          <w:color w:val="000000" w:themeColor="text1"/>
          <w:sz w:val="28"/>
          <w:szCs w:val="28"/>
          <w14:textFill>
            <w14:solidFill>
              <w14:schemeClr w14:val="tx1"/>
            </w14:solidFill>
          </w14:textFill>
        </w:rPr>
        <w:t>需求</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详见《供应商须知前附表》。</w:t>
      </w:r>
    </w:p>
    <w:p w14:paraId="5569BB09">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1.1.11</w:t>
      </w:r>
      <w:r>
        <w:rPr>
          <w:rFonts w:hint="eastAsia" w:ascii="仿宋" w:hAnsi="仿宋" w:eastAsia="仿宋" w:cs="仿宋"/>
          <w:color w:val="000000" w:themeColor="text1"/>
          <w:sz w:val="28"/>
          <w:szCs w:val="28"/>
          <w14:textFill>
            <w14:solidFill>
              <w14:schemeClr w14:val="tx1"/>
            </w14:solidFill>
          </w14:textFill>
        </w:rPr>
        <w:t>服务地点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详见《供应商须知前附表》。</w:t>
      </w:r>
    </w:p>
    <w:p w14:paraId="00379027">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1.1.12</w:t>
      </w:r>
      <w:r>
        <w:rPr>
          <w:rFonts w:hint="eastAsia" w:ascii="仿宋" w:hAnsi="仿宋" w:eastAsia="仿宋" w:cs="仿宋"/>
          <w:color w:val="000000" w:themeColor="text1"/>
          <w:sz w:val="28"/>
          <w:szCs w:val="28"/>
          <w:lang w:eastAsia="zh-CN"/>
          <w14:textFill>
            <w14:solidFill>
              <w14:schemeClr w14:val="tx1"/>
            </w14:solidFill>
          </w14:textFill>
        </w:rPr>
        <w:t>服务期限：</w:t>
      </w:r>
      <w:r>
        <w:rPr>
          <w:rFonts w:hint="eastAsia" w:ascii="仿宋" w:hAnsi="仿宋" w:eastAsia="仿宋" w:cs="仿宋"/>
          <w:color w:val="000000" w:themeColor="text1"/>
          <w:sz w:val="28"/>
          <w:szCs w:val="28"/>
          <w14:textFill>
            <w14:solidFill>
              <w14:schemeClr w14:val="tx1"/>
            </w14:solidFill>
          </w14:textFill>
        </w:rPr>
        <w:t>详见《供应商须知前附表》。</w:t>
      </w:r>
    </w:p>
    <w:p w14:paraId="3C274C1F">
      <w:pPr>
        <w:spacing w:line="360" w:lineRule="auto"/>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1.1.13</w:t>
      </w:r>
      <w:r>
        <w:rPr>
          <w:rFonts w:hint="eastAsia" w:ascii="仿宋" w:hAnsi="仿宋" w:eastAsia="仿宋" w:cs="仿宋"/>
          <w:color w:val="000000" w:themeColor="text1"/>
          <w:sz w:val="28"/>
          <w:szCs w:val="28"/>
          <w14:textFill>
            <w14:solidFill>
              <w14:schemeClr w14:val="tx1"/>
            </w14:solidFill>
          </w14:textFill>
        </w:rPr>
        <w:t>质量要求</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详见《供应商须知前附表》。</w:t>
      </w:r>
    </w:p>
    <w:p w14:paraId="28EB9826">
      <w:pPr>
        <w:spacing w:line="360" w:lineRule="auto"/>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snapToGrid/>
          <w:color w:val="000000" w:themeColor="text1"/>
          <w:kern w:val="2"/>
          <w:sz w:val="28"/>
          <w:szCs w:val="28"/>
          <w:lang w:val="en-US" w:eastAsia="zh-CN" w:bidi="ar-SA"/>
          <w14:textFill>
            <w14:solidFill>
              <w14:schemeClr w14:val="tx1"/>
            </w14:solidFill>
          </w14:textFill>
        </w:rPr>
        <w:t>1.2供应商的资格要求</w:t>
      </w:r>
    </w:p>
    <w:p w14:paraId="6CD8DB53">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详见《供应商须知前附表》。</w:t>
      </w:r>
    </w:p>
    <w:p w14:paraId="16FDF037">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bookmarkStart w:id="270" w:name="_Toc32172"/>
      <w:bookmarkStart w:id="271" w:name="_Toc46924541"/>
      <w:r>
        <w:rPr>
          <w:rFonts w:hint="eastAsia" w:ascii="仿宋" w:hAnsi="仿宋" w:eastAsia="仿宋" w:cs="仿宋"/>
          <w:b/>
          <w:bCs/>
          <w:color w:val="000000" w:themeColor="text1"/>
          <w:sz w:val="28"/>
          <w:szCs w:val="28"/>
          <w:lang w:val="en-US" w:eastAsia="zh-CN"/>
          <w14:textFill>
            <w14:solidFill>
              <w14:schemeClr w14:val="tx1"/>
            </w14:solidFill>
          </w14:textFill>
        </w:rPr>
        <w:t>1.3</w:t>
      </w:r>
      <w:r>
        <w:rPr>
          <w:rFonts w:hint="eastAsia" w:ascii="仿宋" w:hAnsi="仿宋" w:eastAsia="仿宋" w:cs="仿宋"/>
          <w:b/>
          <w:bCs/>
          <w:color w:val="000000" w:themeColor="text1"/>
          <w:sz w:val="28"/>
          <w:szCs w:val="28"/>
          <w14:textFill>
            <w14:solidFill>
              <w14:schemeClr w14:val="tx1"/>
            </w14:solidFill>
          </w14:textFill>
        </w:rPr>
        <w:t>费用承担</w:t>
      </w:r>
      <w:bookmarkEnd w:id="270"/>
      <w:bookmarkEnd w:id="271"/>
    </w:p>
    <w:p w14:paraId="02DCEB74">
      <w:pPr>
        <w:wordWrap w:val="0"/>
        <w:spacing w:line="500" w:lineRule="exact"/>
        <w:ind w:firstLine="560" w:firstLineChars="200"/>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pPr>
      <w:bookmarkStart w:id="272" w:name="_Toc46924542"/>
      <w:bookmarkStart w:id="273" w:name="_Toc27886"/>
      <w:r>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t>1.3.l无论本项目的结果如何，供应商应自行承担其参加本采购活动产生的所有费用。</w:t>
      </w:r>
    </w:p>
    <w:p w14:paraId="39F06048">
      <w:pPr>
        <w:wordWrap w:val="0"/>
        <w:spacing w:line="500" w:lineRule="exact"/>
        <w:ind w:firstLine="560" w:firstLineChars="200"/>
        <w:outlineLvl w:val="9"/>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t>1.3.2代理服务费：详见供应商须知前附表。</w:t>
      </w:r>
    </w:p>
    <w:p w14:paraId="270F156F">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1.4保密</w:t>
      </w:r>
    </w:p>
    <w:p w14:paraId="2D965176">
      <w:pPr>
        <w:pStyle w:val="126"/>
        <w:keepLines w:val="0"/>
        <w:widowControl/>
        <w:spacing w:line="360" w:lineRule="auto"/>
        <w:ind w:firstLine="560" w:firstLineChars="200"/>
        <w:outlineLvl w:val="9"/>
        <w:rPr>
          <w:rFonts w:hint="eastAsia" w:ascii="仿宋" w:hAnsi="仿宋" w:eastAsia="仿宋" w:cs="仿宋"/>
          <w:b w:val="0"/>
          <w:bCs w:val="0"/>
          <w:color w:val="000000" w:themeColor="text1"/>
          <w:sz w:val="28"/>
          <w:szCs w:val="28"/>
          <w14:textFill>
            <w14:solidFill>
              <w14:schemeClr w14:val="tx1"/>
            </w14:solidFill>
          </w14:textFill>
        </w:rPr>
      </w:pPr>
      <w:r>
        <w:rPr>
          <w:rFonts w:hint="eastAsia" w:ascii="仿宋" w:hAnsi="仿宋" w:eastAsia="仿宋" w:cs="仿宋"/>
          <w:b w:val="0"/>
          <w:bCs w:val="0"/>
          <w:color w:val="000000" w:themeColor="text1"/>
          <w:sz w:val="28"/>
          <w:szCs w:val="28"/>
          <w14:textFill>
            <w14:solidFill>
              <w14:schemeClr w14:val="tx1"/>
            </w14:solidFill>
          </w14:textFill>
        </w:rPr>
        <w:t>参与采购活动的各方应对竞争性谈判文件和响应文件中的商业和技术等秘密保密，违者应对由此造成的后果承担法律责任。</w:t>
      </w:r>
    </w:p>
    <w:p w14:paraId="70EEC4B0">
      <w:pPr>
        <w:wordWrap w:val="0"/>
        <w:spacing w:line="500" w:lineRule="exact"/>
        <w:outlineLvl w:val="9"/>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t>1.5语言文字</w:t>
      </w:r>
    </w:p>
    <w:p w14:paraId="4887174C">
      <w:pPr>
        <w:wordWrap w:val="0"/>
        <w:spacing w:line="500" w:lineRule="exact"/>
        <w:ind w:firstLine="560" w:firstLineChars="200"/>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t>除专用术语外，与采购活动有关的语言均使用中文。必要时专用术语应附有中文注释。</w:t>
      </w:r>
    </w:p>
    <w:p w14:paraId="19EFEE20">
      <w:pPr>
        <w:wordWrap w:val="0"/>
        <w:spacing w:line="500" w:lineRule="exact"/>
        <w:outlineLvl w:val="9"/>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t>1.6计量单位</w:t>
      </w:r>
    </w:p>
    <w:p w14:paraId="4A2BB676">
      <w:pPr>
        <w:wordWrap w:val="0"/>
        <w:spacing w:line="500" w:lineRule="exact"/>
        <w:ind w:firstLine="560" w:firstLineChars="200"/>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val="0"/>
          <w:bCs w:val="0"/>
          <w:snapToGrid/>
          <w:color w:val="000000" w:themeColor="text1"/>
          <w:kern w:val="2"/>
          <w:sz w:val="28"/>
          <w:szCs w:val="28"/>
          <w:lang w:val="zh-CN" w:eastAsia="zh-CN" w:bidi="ar-SA"/>
          <w14:textFill>
            <w14:solidFill>
              <w14:schemeClr w14:val="tx1"/>
            </w14:solidFill>
          </w14:textFill>
        </w:rPr>
        <w:t>所有计量均采用中华人民共和国法定计量单位。</w:t>
      </w:r>
    </w:p>
    <w:bookmarkEnd w:id="272"/>
    <w:bookmarkEnd w:id="273"/>
    <w:p w14:paraId="20B455A2">
      <w:pPr>
        <w:wordWrap w:val="0"/>
        <w:spacing w:line="500" w:lineRule="exact"/>
        <w:outlineLvl w:val="9"/>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pPr>
      <w:r>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t>1.7踏勘现场</w:t>
      </w:r>
    </w:p>
    <w:p w14:paraId="4D373AAF">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1.7.1本项目采购人不组织供应商踏勘现场，供应商自行踏勘现场。</w:t>
      </w:r>
    </w:p>
    <w:p w14:paraId="5065A117">
      <w:pPr>
        <w:spacing w:line="360" w:lineRule="auto"/>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1.7.2供应商踏勘现场发生的费用自理。</w:t>
      </w:r>
    </w:p>
    <w:p w14:paraId="16B1483C">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1.7.3供应商自行负责在踏勘现场中所发生的人员伤亡和财产损失。</w:t>
      </w:r>
      <w:bookmarkStart w:id="274" w:name="_Toc46924543"/>
      <w:bookmarkStart w:id="275" w:name="_Toc8118"/>
    </w:p>
    <w:p w14:paraId="669C4842">
      <w:pPr>
        <w:spacing w:line="360" w:lineRule="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8 </w:t>
      </w:r>
      <w:r>
        <w:rPr>
          <w:rFonts w:hint="eastAsia" w:ascii="仿宋" w:hAnsi="仿宋" w:eastAsia="仿宋" w:cs="仿宋"/>
          <w:b/>
          <w:bCs/>
          <w:color w:val="000000" w:themeColor="text1"/>
          <w:sz w:val="28"/>
          <w:szCs w:val="28"/>
          <w14:textFill>
            <w14:solidFill>
              <w14:schemeClr w14:val="tx1"/>
            </w14:solidFill>
          </w14:textFill>
        </w:rPr>
        <w:t>计量单位</w:t>
      </w:r>
    </w:p>
    <w:p w14:paraId="25EC9120">
      <w:pPr>
        <w:spacing w:line="360" w:lineRule="auto"/>
        <w:ind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所有计量均采用中华人民共和国法定计量单位。</w:t>
      </w:r>
    </w:p>
    <w:p w14:paraId="7C12D87F">
      <w:pPr>
        <w:spacing w:line="360" w:lineRule="auto"/>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1.</w:t>
      </w:r>
      <w:r>
        <w:rPr>
          <w:rFonts w:hint="eastAsia" w:ascii="仿宋" w:hAnsi="仿宋" w:eastAsia="仿宋" w:cs="仿宋"/>
          <w:b/>
          <w:bCs/>
          <w:color w:val="000000" w:themeColor="text1"/>
          <w:sz w:val="28"/>
          <w:szCs w:val="28"/>
          <w:lang w:val="en-US" w:eastAsia="zh-CN"/>
          <w14:textFill>
            <w14:solidFill>
              <w14:schemeClr w14:val="tx1"/>
            </w14:solidFill>
          </w14:textFill>
        </w:rPr>
        <w:t>9 分包</w:t>
      </w:r>
    </w:p>
    <w:p w14:paraId="2105AF9C">
      <w:pPr>
        <w:spacing w:line="360" w:lineRule="auto"/>
        <w:ind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本项目不允许分包。</w:t>
      </w:r>
      <w:bookmarkStart w:id="276" w:name="_Toc325375705"/>
      <w:bookmarkStart w:id="277" w:name="_Toc98215623"/>
      <w:bookmarkStart w:id="278" w:name="_Toc149731960"/>
      <w:bookmarkStart w:id="279" w:name="_Toc149732021"/>
      <w:bookmarkStart w:id="280" w:name="_Toc106009763"/>
      <w:bookmarkStart w:id="281" w:name="_Toc336332816"/>
      <w:bookmarkStart w:id="282" w:name="_Toc49082410"/>
      <w:bookmarkStart w:id="283" w:name="_Toc49135196"/>
      <w:bookmarkStart w:id="284" w:name="_Toc354687100"/>
      <w:bookmarkStart w:id="285" w:name="_Toc150653502"/>
      <w:bookmarkStart w:id="286" w:name="_Toc96423869"/>
      <w:bookmarkStart w:id="287" w:name="_Toc420767682"/>
    </w:p>
    <w:bookmarkEnd w:id="276"/>
    <w:bookmarkEnd w:id="277"/>
    <w:bookmarkEnd w:id="278"/>
    <w:bookmarkEnd w:id="279"/>
    <w:bookmarkEnd w:id="280"/>
    <w:bookmarkEnd w:id="281"/>
    <w:bookmarkEnd w:id="282"/>
    <w:bookmarkEnd w:id="283"/>
    <w:bookmarkEnd w:id="284"/>
    <w:bookmarkEnd w:id="285"/>
    <w:bookmarkEnd w:id="286"/>
    <w:bookmarkEnd w:id="287"/>
    <w:p w14:paraId="3839E226">
      <w:pPr>
        <w:numPr>
          <w:ilvl w:val="0"/>
          <w:numId w:val="0"/>
        </w:numPr>
        <w:spacing w:line="360" w:lineRule="auto"/>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snapToGrid w:val="0"/>
          <w:color w:val="000000" w:themeColor="text1"/>
          <w:kern w:val="21"/>
          <w:sz w:val="28"/>
          <w:szCs w:val="28"/>
          <w:lang w:val="en-US" w:eastAsia="zh-CN" w:bidi="ar-SA"/>
          <w14:textFill>
            <w14:solidFill>
              <w14:schemeClr w14:val="tx1"/>
            </w14:solidFill>
          </w14:textFill>
        </w:rPr>
        <w:t>2.</w:t>
      </w:r>
      <w:r>
        <w:rPr>
          <w:rFonts w:hint="eastAsia" w:ascii="仿宋" w:hAnsi="仿宋" w:eastAsia="仿宋" w:cs="仿宋"/>
          <w:b/>
          <w:bCs/>
          <w:color w:val="000000" w:themeColor="text1"/>
          <w:sz w:val="28"/>
          <w:szCs w:val="28"/>
          <w14:textFill>
            <w14:solidFill>
              <w14:schemeClr w14:val="tx1"/>
            </w14:solidFill>
          </w14:textFill>
        </w:rPr>
        <w:t>竞争性磋商文件</w:t>
      </w:r>
    </w:p>
    <w:p w14:paraId="669CF08C">
      <w:pPr>
        <w:numPr>
          <w:ilvl w:val="1"/>
          <w:numId w:val="0"/>
        </w:numPr>
        <w:spacing w:line="360" w:lineRule="auto"/>
        <w:ind w:left="0" w:leftChars="0" w:firstLine="562" w:firstLineChars="200"/>
        <w:rPr>
          <w:rFonts w:hint="eastAsia" w:ascii="仿宋" w:hAnsi="仿宋" w:eastAsia="仿宋" w:cs="仿宋"/>
          <w:b/>
          <w:bCs/>
          <w:color w:val="000000" w:themeColor="text1"/>
          <w:sz w:val="28"/>
          <w:szCs w:val="28"/>
          <w:highlight w:val="none"/>
          <w14:textFill>
            <w14:solidFill>
              <w14:schemeClr w14:val="tx1"/>
            </w14:solidFill>
          </w14:textFill>
        </w:rPr>
      </w:pPr>
      <w:r>
        <w:rPr>
          <w:rFonts w:hint="default" w:ascii="仿宋" w:hAnsi="仿宋" w:eastAsia="仿宋" w:cs="仿宋"/>
          <w:b/>
          <w:bCs/>
          <w:snapToGrid w:val="0"/>
          <w:color w:val="000000" w:themeColor="text1"/>
          <w:kern w:val="21"/>
          <w:sz w:val="28"/>
          <w:szCs w:val="28"/>
          <w:highlight w:val="none"/>
          <w:lang w:val="en-US" w:eastAsia="zh-CN" w:bidi="ar-SA"/>
          <w14:textFill>
            <w14:solidFill>
              <w14:schemeClr w14:val="tx1"/>
            </w14:solidFill>
          </w14:textFill>
        </w:rPr>
        <w:t>2.1</w:t>
      </w:r>
      <w:r>
        <w:rPr>
          <w:rFonts w:hint="eastAsia" w:ascii="仿宋" w:hAnsi="仿宋" w:eastAsia="仿宋" w:cs="仿宋"/>
          <w:b/>
          <w:bCs/>
          <w:color w:val="000000" w:themeColor="text1"/>
          <w:sz w:val="28"/>
          <w:szCs w:val="28"/>
          <w:highlight w:val="none"/>
          <w14:textFill>
            <w14:solidFill>
              <w14:schemeClr w14:val="tx1"/>
            </w14:solidFill>
          </w14:textFill>
        </w:rPr>
        <w:t>竞争性磋商文件包括下列内容：</w:t>
      </w:r>
    </w:p>
    <w:p w14:paraId="5C8AF4ED">
      <w:pPr>
        <w:numPr>
          <w:ilvl w:val="0"/>
          <w:numId w:val="0"/>
        </w:numPr>
        <w:spacing w:line="360" w:lineRule="auto"/>
        <w:ind w:left="0" w:leftChars="0"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（1）竞争性磋商公告</w:t>
      </w:r>
    </w:p>
    <w:p w14:paraId="12D201A5">
      <w:pPr>
        <w:numPr>
          <w:ilvl w:val="0"/>
          <w:numId w:val="0"/>
        </w:numPr>
        <w:spacing w:line="360" w:lineRule="auto"/>
        <w:ind w:left="0" w:leftChars="0"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（2）供应商须知</w:t>
      </w:r>
    </w:p>
    <w:p w14:paraId="3E00CA9D">
      <w:pPr>
        <w:numPr>
          <w:ilvl w:val="0"/>
          <w:numId w:val="0"/>
        </w:numPr>
        <w:spacing w:line="360" w:lineRule="auto"/>
        <w:ind w:left="0" w:leftChars="0"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（3）第合同书样式及主要条款（参考）</w:t>
      </w:r>
    </w:p>
    <w:p w14:paraId="42ADE795">
      <w:pPr>
        <w:numPr>
          <w:ilvl w:val="0"/>
          <w:numId w:val="0"/>
        </w:numPr>
        <w:spacing w:line="360" w:lineRule="auto"/>
        <w:ind w:left="0" w:leftChars="0" w:firstLine="560" w:firstLineChars="200"/>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（4）响应文件格式</w:t>
      </w:r>
    </w:p>
    <w:p w14:paraId="003954D7">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（5）评审办法</w:t>
      </w:r>
    </w:p>
    <w:p w14:paraId="7FF0482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（6）服务需求</w:t>
      </w: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ab/>
      </w:r>
    </w:p>
    <w:p w14:paraId="29A44992">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2.2 除第2.1款内容外，采购人以书面形式发出的对竞争性磋商文件的澄清或修改内容，均为竞争性磋商文件的组成部分，对采购人和供应商起约束作用。</w:t>
      </w:r>
    </w:p>
    <w:p w14:paraId="6295B73B">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bookmarkStart w:id="288" w:name="_Toc152045544"/>
      <w:bookmarkStart w:id="289" w:name="_Toc144974507"/>
      <w:bookmarkStart w:id="290" w:name="_Toc152042320"/>
      <w:bookmarkStart w:id="291" w:name="_Toc321387267"/>
      <w:bookmarkStart w:id="292" w:name="_Toc308439032"/>
      <w:bookmarkStart w:id="293" w:name="_Toc144974512"/>
      <w:bookmarkStart w:id="294" w:name="_Toc179632556"/>
      <w:bookmarkStart w:id="295" w:name="_Toc338754055"/>
      <w:bookmarkStart w:id="296" w:name="_Toc326829205"/>
      <w:bookmarkStart w:id="297" w:name="_Toc308439027"/>
      <w:bookmarkStart w:id="298" w:name="_Toc319592605"/>
      <w:bookmarkStart w:id="299" w:name="_Toc345250124"/>
      <w:bookmarkStart w:id="300" w:name="_Toc152042315"/>
      <w:bookmarkStart w:id="301" w:name="_Toc152045539"/>
      <w:bookmarkStart w:id="302" w:name="_Toc179632562"/>
      <w:bookmarkStart w:id="303" w:name="_Toc319592611"/>
      <w:r>
        <w:rPr>
          <w:rFonts w:hint="eastAsia" w:ascii="仿宋" w:hAnsi="仿宋" w:eastAsia="仿宋" w:cs="仿宋"/>
          <w:b/>
          <w:bCs/>
          <w:color w:val="000000" w:themeColor="text1"/>
          <w:sz w:val="28"/>
          <w:szCs w:val="28"/>
          <w14:textFill>
            <w14:solidFill>
              <w14:schemeClr w14:val="tx1"/>
            </w14:solidFill>
          </w14:textFill>
        </w:rPr>
        <w:t>2.3</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ascii="仿宋" w:hAnsi="仿宋" w:eastAsia="仿宋" w:cs="仿宋"/>
          <w:b/>
          <w:bCs/>
          <w:color w:val="000000" w:themeColor="text1"/>
          <w:sz w:val="28"/>
          <w:szCs w:val="28"/>
          <w14:textFill>
            <w14:solidFill>
              <w14:schemeClr w14:val="tx1"/>
            </w14:solidFill>
          </w14:textFill>
        </w:rPr>
        <w:t>竞争性磋商文件的澄清、修改、答复</w:t>
      </w:r>
    </w:p>
    <w:p w14:paraId="23B7A40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bookmarkStart w:id="304" w:name="_Toc12967"/>
      <w:bookmarkStart w:id="305" w:name="_Toc16254"/>
      <w:bookmarkStart w:id="306" w:name="_Toc21748"/>
      <w:bookmarkStart w:id="307" w:name="_Toc1407"/>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2.3.1 供应商应仔细阅读和检查竞争性磋商文件的全部内容。如发现缺页或附件不全，应及时向采购人提出，以便补齐。供应商对竞争性磋商文件有疑问的，可以向采购人、采购代理机构提出询问；采购人、采购代理机构在3个工作日内对供应商依法提出的询问作出答复，但答复的内容不得涉及商业秘密。</w:t>
      </w:r>
      <w:bookmarkEnd w:id="304"/>
      <w:bookmarkEnd w:id="305"/>
      <w:bookmarkEnd w:id="306"/>
      <w:bookmarkEnd w:id="307"/>
    </w:p>
    <w:p w14:paraId="344FC10E">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bookmarkStart w:id="308" w:name="_Toc31503"/>
      <w:bookmarkStart w:id="309" w:name="_Toc19393"/>
      <w:bookmarkStart w:id="310" w:name="_Toc24986"/>
      <w:bookmarkStart w:id="311" w:name="_Toc5650"/>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2.3.2 采购人或者采购代理机构可以对已发出的竞争性磋商文件进行必要的澄清或者修改，澄清或者修改在中国招标投标公共服务平台（http://www.cebpubservice.com）和元博网采购与招标网（https://www.chinabidding.cn）上发布更正公告。澄清或者修改的内容为竞争性磋商文件的组成部分。澄清或者修改的内容可能影响响应文件编制的，采购人或者采购代理机构在供应商须知前附表规定的磋商截止时间至少5日前，通过以电话方式通知所有获取竞争性磋商文件的潜在供应商；不足5日的，采购人或者采购代理机构顺延提交响应文件的截止时间。</w:t>
      </w:r>
      <w:bookmarkEnd w:id="308"/>
      <w:bookmarkEnd w:id="309"/>
      <w:bookmarkEnd w:id="310"/>
      <w:bookmarkEnd w:id="311"/>
    </w:p>
    <w:p w14:paraId="5F3CAF6A">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bookmarkStart w:id="312" w:name="_Toc11896"/>
      <w:bookmarkStart w:id="313" w:name="_Toc7969"/>
      <w:bookmarkStart w:id="314" w:name="_Toc10375"/>
      <w:bookmarkStart w:id="315" w:name="_Toc31066"/>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2.3.3供应商应及时在接到电话通知后到采购代理机构领取或在中国招标投标公共服务平台（http://www.cebpubservice.com）和元博网采购与招标网（https://www.chinabidding.cn）查看有关该项目竞争性磋商文件的澄清或者修改内容。因供应商自身原因未及时获知澄清或者修改内容而导致的任何后果将由供应商自行承担。</w:t>
      </w:r>
      <w:bookmarkEnd w:id="312"/>
      <w:bookmarkEnd w:id="313"/>
      <w:bookmarkEnd w:id="314"/>
      <w:bookmarkEnd w:id="315"/>
    </w:p>
    <w:p w14:paraId="3F1BCE8E">
      <w:pPr>
        <w:pStyle w:val="126"/>
        <w:keepLines w:val="0"/>
        <w:widowControl/>
        <w:spacing w:line="360" w:lineRule="auto"/>
        <w:outlineLvl w:val="1"/>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3.响应文件</w:t>
      </w:r>
    </w:p>
    <w:p w14:paraId="197D25B5">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3.1 响应文件包括下列内容</w:t>
      </w:r>
    </w:p>
    <w:p w14:paraId="22614C4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⑴磋商报价一览表</w:t>
      </w:r>
    </w:p>
    <w:p w14:paraId="75F53C91">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⑵磋商申请函</w:t>
      </w:r>
    </w:p>
    <w:p w14:paraId="20AD51C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⑶供应商相关证件及资料</w:t>
      </w:r>
    </w:p>
    <w:p w14:paraId="31A3D3A1">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⑷落实政府采购政策需提供的证明材料</w:t>
      </w:r>
    </w:p>
    <w:p w14:paraId="5704C720">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⑸供应商基本情况表</w:t>
      </w:r>
    </w:p>
    <w:p w14:paraId="6E602A2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⑹商务条款偏离表</w:t>
      </w:r>
    </w:p>
    <w:p w14:paraId="003F0402">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⑺技术部分</w:t>
      </w:r>
    </w:p>
    <w:p w14:paraId="416174F8">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⑻商务部分</w:t>
      </w:r>
    </w:p>
    <w:p w14:paraId="60B3690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⑼竞争性磋商文件要求或供应商认为有必要提交的其他资料</w:t>
      </w:r>
    </w:p>
    <w:p w14:paraId="1DEACC68">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3.2 响应文件格式</w:t>
      </w:r>
    </w:p>
    <w:p w14:paraId="522695A4">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供应商提交的响应文件应当使用竞争性磋商文件所提供的响应文件全部格式（表格可以按同样格式扩展）。</w:t>
      </w:r>
    </w:p>
    <w:p w14:paraId="775F36D9">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3.3 磋商报价</w:t>
      </w:r>
    </w:p>
    <w:p w14:paraId="1DD85C1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3.3.1磋商报价编制依据为竞争性磋商文件、招标答疑（如有）和建设单位提供的工程量清单。</w:t>
      </w:r>
    </w:p>
    <w:p w14:paraId="0158169D">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3.3.2 磋商报价的相关要求：详见供应商须知前附表。</w:t>
      </w:r>
    </w:p>
    <w:p w14:paraId="22A2147E">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3.3.3采购人设有最高限价的，供应商谈判报价不得高于最高限价，最高限价在供应商须知前附表中载明。</w:t>
      </w:r>
    </w:p>
    <w:p w14:paraId="076DED66">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w:t>
      </w: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磋商有效期</w:t>
      </w:r>
    </w:p>
    <w:p w14:paraId="1C1A47D6">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3.4.1 在供应商须知前附表规定的磋商有效期内，供应商不得要求撤销或修改其响应文件。</w:t>
      </w:r>
    </w:p>
    <w:p w14:paraId="6D2F0B5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3.4.2 出现特殊情况需要延长磋商有效期的，采购人以书面形式通知所有供应商延长磋商有效期。供应商同意延长的，应相应延长其磋商保证金的有效期，但不得要求或被允许修改或撤销其响应文件；供应商拒绝延长的，其磋商失效，但供应商有权收回其磋商保证金。</w:t>
      </w:r>
    </w:p>
    <w:p w14:paraId="0B98FAD7">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3.5 磋商保证金</w:t>
      </w:r>
    </w:p>
    <w:p w14:paraId="26DA91C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3.5.1 供应商须按照供应商须知前附表的规定提交磋商保证金，供应商未按要求提交磋商保证金的，其响应文件作无效标书处理。</w:t>
      </w:r>
    </w:p>
    <w:p w14:paraId="35E5AE71">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3.5.2 采购代理机构应当在成交通知书发出后5个工作日内退还未成交供应商的磋商保证金，在采购合同签订后5个工作日内退还成交供应商的磋商保证金。</w:t>
      </w:r>
    </w:p>
    <w:p w14:paraId="7052168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3.5.3 成交供应商有下列情形之一的，采购代理机构不予退还其提交的磋商保证金： </w:t>
      </w:r>
    </w:p>
    <w:p w14:paraId="3E40D3DA">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（1）供应商在提交响应文件截止时间后撤回响应文件的；</w:t>
      </w:r>
    </w:p>
    <w:p w14:paraId="69D7C65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（2）供应商在响应文件中提供虚假材料的；</w:t>
      </w:r>
    </w:p>
    <w:p w14:paraId="30E35487">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（3）除因不可抗力或竞争性磋商文件认可的情形以外，成交供应商不与采购人签订合同的；</w:t>
      </w:r>
    </w:p>
    <w:p w14:paraId="45003213">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（4）供应商与采购人、其他供应商或者采购代理机构恶意串通的。</w:t>
      </w:r>
    </w:p>
    <w:p w14:paraId="18D4E5F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（5）磋商文件规定的其他情形。</w:t>
      </w:r>
    </w:p>
    <w:p w14:paraId="2A21FC2C">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w:t>
      </w:r>
      <w:r>
        <w:rPr>
          <w:rFonts w:hint="eastAsia" w:ascii="仿宋" w:hAnsi="仿宋" w:eastAsia="仿宋" w:cs="仿宋"/>
          <w:b/>
          <w:bCs/>
          <w:color w:val="000000" w:themeColor="text1"/>
          <w:sz w:val="28"/>
          <w:szCs w:val="28"/>
          <w:lang w:val="en-US" w:eastAsia="zh-CN"/>
          <w14:textFill>
            <w14:solidFill>
              <w14:schemeClr w14:val="tx1"/>
            </w14:solidFill>
          </w14:textFill>
        </w:rPr>
        <w:t>6</w:t>
      </w:r>
      <w:r>
        <w:rPr>
          <w:rFonts w:hint="eastAsia" w:ascii="仿宋" w:hAnsi="仿宋" w:eastAsia="仿宋" w:cs="仿宋"/>
          <w:b/>
          <w:bCs/>
          <w:color w:val="000000" w:themeColor="text1"/>
          <w:sz w:val="28"/>
          <w:szCs w:val="28"/>
          <w14:textFill>
            <w14:solidFill>
              <w14:schemeClr w14:val="tx1"/>
            </w14:solidFill>
          </w14:textFill>
        </w:rPr>
        <w:t xml:space="preserve"> </w:t>
      </w:r>
      <w:r>
        <w:rPr>
          <w:rFonts w:hint="eastAsia" w:ascii="仿宋" w:hAnsi="仿宋" w:eastAsia="仿宋" w:cs="仿宋"/>
          <w:b/>
          <w:bCs/>
          <w:color w:val="000000" w:themeColor="text1"/>
          <w:sz w:val="28"/>
          <w:szCs w:val="28"/>
          <w:lang w:eastAsia="zh-CN"/>
          <w14:textFill>
            <w14:solidFill>
              <w14:schemeClr w14:val="tx1"/>
            </w14:solidFill>
          </w14:textFill>
        </w:rPr>
        <w:t>响应文件</w:t>
      </w:r>
      <w:r>
        <w:rPr>
          <w:rFonts w:hint="eastAsia" w:ascii="仿宋" w:hAnsi="仿宋" w:eastAsia="仿宋" w:cs="仿宋"/>
          <w:b/>
          <w:bCs/>
          <w:color w:val="000000" w:themeColor="text1"/>
          <w:sz w:val="28"/>
          <w:szCs w:val="28"/>
          <w14:textFill>
            <w14:solidFill>
              <w14:schemeClr w14:val="tx1"/>
            </w14:solidFill>
          </w14:textFill>
        </w:rPr>
        <w:t>的编制</w:t>
      </w:r>
    </w:p>
    <w:p w14:paraId="106AD4E7">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3.6.1 响应文件的份数：详见供应商须知前附表。</w:t>
      </w:r>
    </w:p>
    <w:p w14:paraId="5B178E68">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3.6.2 是否要求提交可编辑电子版响应文件：详见供应商须知前附表。</w:t>
      </w:r>
    </w:p>
    <w:p w14:paraId="38707AA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3.6.3 响应文件签字盖章的要求：详见供应商须知前附表。</w:t>
      </w:r>
    </w:p>
    <w:p w14:paraId="6EC50920">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3.6.4响应文件的装订、密封：详见供应商须知前附表。</w:t>
      </w:r>
    </w:p>
    <w:p w14:paraId="65BFD38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3.6.5响应文件的封套上应写明：详见供应商须知前附表。</w:t>
      </w:r>
    </w:p>
    <w:p w14:paraId="4765F5BF">
      <w:pPr>
        <w:pStyle w:val="126"/>
        <w:keepLines w:val="0"/>
        <w:widowControl/>
        <w:spacing w:line="360" w:lineRule="auto"/>
        <w:outlineLvl w:val="9"/>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w:t>
      </w:r>
      <w:r>
        <w:rPr>
          <w:rFonts w:hint="eastAsia" w:ascii="仿宋" w:hAnsi="仿宋" w:eastAsia="仿宋" w:cs="仿宋"/>
          <w:b/>
          <w:bCs/>
          <w:color w:val="000000" w:themeColor="text1"/>
          <w:sz w:val="28"/>
          <w:szCs w:val="28"/>
          <w:lang w:val="en-US" w:eastAsia="zh-CN"/>
          <w14:textFill>
            <w14:solidFill>
              <w14:schemeClr w14:val="tx1"/>
            </w14:solidFill>
          </w14:textFill>
        </w:rPr>
        <w:t>7</w:t>
      </w:r>
      <w:r>
        <w:rPr>
          <w:rFonts w:hint="eastAsia" w:ascii="仿宋" w:hAnsi="仿宋" w:eastAsia="仿宋" w:cs="仿宋"/>
          <w:b/>
          <w:bCs/>
          <w:color w:val="000000" w:themeColor="text1"/>
          <w:sz w:val="28"/>
          <w:szCs w:val="28"/>
          <w14:textFill>
            <w14:solidFill>
              <w14:schemeClr w14:val="tx1"/>
            </w14:solidFill>
          </w14:textFill>
        </w:rPr>
        <w:t xml:space="preserve"> </w:t>
      </w:r>
      <w:r>
        <w:rPr>
          <w:rFonts w:hint="eastAsia" w:ascii="仿宋" w:hAnsi="仿宋" w:eastAsia="仿宋" w:cs="仿宋"/>
          <w:b/>
          <w:bCs/>
          <w:color w:val="000000" w:themeColor="text1"/>
          <w:sz w:val="28"/>
          <w:szCs w:val="28"/>
          <w:lang w:eastAsia="zh-CN"/>
          <w14:textFill>
            <w14:solidFill>
              <w14:schemeClr w14:val="tx1"/>
            </w14:solidFill>
          </w14:textFill>
        </w:rPr>
        <w:t>响应文件</w:t>
      </w:r>
      <w:r>
        <w:rPr>
          <w:rFonts w:hint="eastAsia" w:ascii="仿宋" w:hAnsi="仿宋" w:eastAsia="仿宋" w:cs="仿宋"/>
          <w:b/>
          <w:bCs/>
          <w:color w:val="000000" w:themeColor="text1"/>
          <w:sz w:val="28"/>
          <w:szCs w:val="28"/>
          <w14:textFill>
            <w14:solidFill>
              <w14:schemeClr w14:val="tx1"/>
            </w14:solidFill>
          </w14:textFill>
        </w:rPr>
        <w:t>的</w:t>
      </w:r>
      <w:r>
        <w:rPr>
          <w:rFonts w:hint="eastAsia" w:ascii="仿宋" w:hAnsi="仿宋" w:eastAsia="仿宋" w:cs="仿宋"/>
          <w:b/>
          <w:bCs/>
          <w:color w:val="000000" w:themeColor="text1"/>
          <w:sz w:val="28"/>
          <w:szCs w:val="28"/>
          <w:lang w:eastAsia="zh-CN"/>
          <w14:textFill>
            <w14:solidFill>
              <w14:schemeClr w14:val="tx1"/>
            </w14:solidFill>
          </w14:textFill>
        </w:rPr>
        <w:t>递交</w:t>
      </w:r>
    </w:p>
    <w:p w14:paraId="5FA45EE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3.7.1  响应文件递交的截止时间和地点：详见供应商须知前附表，供应商应在规定的响应文件提交的截止时间前递交响应文件。</w:t>
      </w:r>
    </w:p>
    <w:p w14:paraId="011072F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3.7.2 潜在供应商的法定代表人或其委托代理人应在谈判截止时间前递交竞争性磋商文件，逾期不予受理竞争性磋商文件 。</w:t>
      </w:r>
    </w:p>
    <w:p w14:paraId="6956D872">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3.7.3供应商所递交的响应文件不予退还。</w:t>
      </w:r>
    </w:p>
    <w:p w14:paraId="0D3B38EC">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3.</w:t>
      </w:r>
      <w:r>
        <w:rPr>
          <w:rFonts w:hint="eastAsia" w:ascii="仿宋" w:hAnsi="仿宋" w:eastAsia="仿宋" w:cs="仿宋"/>
          <w:b/>
          <w:bCs/>
          <w:color w:val="000000" w:themeColor="text1"/>
          <w:sz w:val="28"/>
          <w:szCs w:val="28"/>
          <w:lang w:val="en-US" w:eastAsia="zh-CN"/>
          <w14:textFill>
            <w14:solidFill>
              <w14:schemeClr w14:val="tx1"/>
            </w14:solidFill>
          </w14:textFill>
        </w:rPr>
        <w:t>8</w:t>
      </w:r>
      <w:r>
        <w:rPr>
          <w:rFonts w:hint="eastAsia" w:ascii="仿宋" w:hAnsi="仿宋" w:eastAsia="仿宋" w:cs="仿宋"/>
          <w:b/>
          <w:bCs/>
          <w:color w:val="000000" w:themeColor="text1"/>
          <w:sz w:val="28"/>
          <w:szCs w:val="28"/>
          <w:lang w:eastAsia="zh-CN"/>
          <w14:textFill>
            <w14:solidFill>
              <w14:schemeClr w14:val="tx1"/>
            </w14:solidFill>
          </w14:textFill>
        </w:rPr>
        <w:t>响应文件</w:t>
      </w:r>
      <w:r>
        <w:rPr>
          <w:rFonts w:hint="eastAsia" w:ascii="仿宋" w:hAnsi="仿宋" w:eastAsia="仿宋" w:cs="仿宋"/>
          <w:b/>
          <w:bCs/>
          <w:color w:val="000000" w:themeColor="text1"/>
          <w:sz w:val="28"/>
          <w:szCs w:val="28"/>
          <w14:textFill>
            <w14:solidFill>
              <w14:schemeClr w14:val="tx1"/>
            </w14:solidFill>
          </w14:textFill>
        </w:rPr>
        <w:t>的</w:t>
      </w:r>
      <w:r>
        <w:rPr>
          <w:rFonts w:hint="eastAsia" w:ascii="仿宋" w:hAnsi="仿宋" w:eastAsia="仿宋" w:cs="仿宋"/>
          <w:b/>
          <w:bCs/>
          <w:color w:val="000000" w:themeColor="text1"/>
          <w:sz w:val="28"/>
          <w:szCs w:val="28"/>
          <w:lang w:val="en-US" w:eastAsia="zh-CN"/>
          <w14:textFill>
            <w14:solidFill>
              <w14:schemeClr w14:val="tx1"/>
            </w14:solidFill>
          </w14:textFill>
        </w:rPr>
        <w:t>补充、</w:t>
      </w:r>
      <w:r>
        <w:rPr>
          <w:rFonts w:hint="eastAsia" w:ascii="仿宋" w:hAnsi="仿宋" w:eastAsia="仿宋" w:cs="仿宋"/>
          <w:b/>
          <w:bCs/>
          <w:color w:val="000000" w:themeColor="text1"/>
          <w:sz w:val="28"/>
          <w:szCs w:val="28"/>
          <w14:textFill>
            <w14:solidFill>
              <w14:schemeClr w14:val="tx1"/>
            </w14:solidFill>
          </w14:textFill>
        </w:rPr>
        <w:t>修改</w:t>
      </w:r>
      <w:r>
        <w:rPr>
          <w:rFonts w:hint="eastAsia" w:ascii="仿宋" w:hAnsi="仿宋" w:eastAsia="仿宋" w:cs="仿宋"/>
          <w:b/>
          <w:bCs/>
          <w:color w:val="000000" w:themeColor="text1"/>
          <w:sz w:val="28"/>
          <w:szCs w:val="28"/>
          <w:lang w:val="en-US" w:eastAsia="zh-CN"/>
          <w14:textFill>
            <w14:solidFill>
              <w14:schemeClr w14:val="tx1"/>
            </w14:solidFill>
          </w14:textFill>
        </w:rPr>
        <w:t>及</w:t>
      </w:r>
      <w:r>
        <w:rPr>
          <w:rFonts w:hint="eastAsia" w:ascii="仿宋" w:hAnsi="仿宋" w:eastAsia="仿宋" w:cs="仿宋"/>
          <w:b/>
          <w:bCs/>
          <w:color w:val="000000" w:themeColor="text1"/>
          <w:sz w:val="28"/>
          <w:szCs w:val="28"/>
          <w14:textFill>
            <w14:solidFill>
              <w14:schemeClr w14:val="tx1"/>
            </w14:solidFill>
          </w14:textFill>
        </w:rPr>
        <w:t>撤回</w:t>
      </w:r>
    </w:p>
    <w:p w14:paraId="5834C14E">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3.8.1 供应商在谈判截止时间前，可以对所提交的响应文件进行补充、修改或者撤回，并书面通知采购人或采购代理机构。补充、修改的内容应当按竞争性磋商文件要求签署、盖章，并作为响应文件的组成部分。</w:t>
      </w:r>
    </w:p>
    <w:p w14:paraId="48E7038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3.8.2 供应商补充、修改的响应文件应按本须知有关规定密封、标记和递交，并在响应文件密封套上标明“补充、修改”字样。</w:t>
      </w:r>
    </w:p>
    <w:p w14:paraId="2ACE6227">
      <w:pPr>
        <w:pStyle w:val="126"/>
        <w:keepLines w:val="0"/>
        <w:widowControl/>
        <w:spacing w:line="360" w:lineRule="auto"/>
        <w:outlineLvl w:val="1"/>
        <w:rPr>
          <w:rFonts w:hint="eastAsia" w:ascii="仿宋" w:hAnsi="仿宋" w:eastAsia="仿宋" w:cs="仿宋"/>
          <w:b/>
          <w:bCs/>
          <w:color w:val="000000" w:themeColor="text1"/>
          <w:sz w:val="28"/>
          <w:szCs w:val="28"/>
          <w:lang w:val="en-US" w:eastAsia="zh-CN"/>
          <w14:textFill>
            <w14:solidFill>
              <w14:schemeClr w14:val="tx1"/>
            </w14:solidFill>
          </w14:textFill>
        </w:rPr>
      </w:pPr>
      <w:bookmarkStart w:id="316" w:name="_Toc7570"/>
      <w:bookmarkStart w:id="317" w:name="_Toc26450"/>
      <w:bookmarkStart w:id="318" w:name="_Toc17791"/>
      <w:bookmarkStart w:id="319" w:name="_Toc14456"/>
      <w:r>
        <w:rPr>
          <w:rFonts w:hint="eastAsia" w:ascii="仿宋" w:hAnsi="仿宋" w:eastAsia="仿宋" w:cs="仿宋"/>
          <w:b/>
          <w:bCs/>
          <w:color w:val="000000" w:themeColor="text1"/>
          <w:sz w:val="28"/>
          <w:szCs w:val="28"/>
          <w:lang w:val="en-US" w:eastAsia="zh-CN"/>
          <w14:textFill>
            <w14:solidFill>
              <w14:schemeClr w14:val="tx1"/>
            </w14:solidFill>
          </w14:textFill>
        </w:rPr>
        <w:t>4.开标</w:t>
      </w:r>
      <w:bookmarkEnd w:id="316"/>
      <w:bookmarkEnd w:id="317"/>
      <w:bookmarkEnd w:id="318"/>
    </w:p>
    <w:p w14:paraId="3A0C39BE">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.1 开标会议由采购人委托的</w:t>
      </w:r>
      <w:r>
        <w:rPr>
          <w:rFonts w:hint="eastAsia" w:ascii="仿宋" w:hAnsi="仿宋" w:eastAsia="仿宋" w:cs="仿宋"/>
          <w:b/>
          <w:bCs/>
          <w:color w:val="000000" w:themeColor="text1"/>
          <w:sz w:val="28"/>
          <w:szCs w:val="28"/>
          <w:lang w:eastAsia="zh-CN"/>
          <w14:textFill>
            <w14:solidFill>
              <w14:schemeClr w14:val="tx1"/>
            </w14:solidFill>
          </w14:textFill>
        </w:rPr>
        <w:t>云南华伟招标有限公司</w:t>
      </w:r>
      <w:r>
        <w:rPr>
          <w:rFonts w:hint="eastAsia" w:ascii="仿宋" w:hAnsi="仿宋" w:eastAsia="仿宋" w:cs="仿宋"/>
          <w:b/>
          <w:bCs/>
          <w:color w:val="000000" w:themeColor="text1"/>
          <w:sz w:val="28"/>
          <w:szCs w:val="28"/>
          <w14:textFill>
            <w14:solidFill>
              <w14:schemeClr w14:val="tx1"/>
            </w14:solidFill>
          </w14:textFill>
        </w:rPr>
        <w:t>主持</w:t>
      </w:r>
      <w:r>
        <w:rPr>
          <w:rFonts w:hint="eastAsia" w:ascii="仿宋" w:hAnsi="仿宋" w:eastAsia="仿宋" w:cs="仿宋"/>
          <w:b/>
          <w:bCs/>
          <w:color w:val="000000" w:themeColor="text1"/>
          <w:sz w:val="28"/>
          <w:szCs w:val="28"/>
          <w:lang w:eastAsia="zh-CN"/>
          <w14:textFill>
            <w14:solidFill>
              <w14:schemeClr w14:val="tx1"/>
            </w14:solidFill>
          </w14:textFill>
        </w:rPr>
        <w:t>，在供应商须知前附表规定的时间、地点宣布磋商截止时间、地点</w:t>
      </w:r>
      <w:r>
        <w:rPr>
          <w:rFonts w:hint="eastAsia" w:ascii="仿宋" w:hAnsi="仿宋" w:eastAsia="仿宋" w:cs="仿宋"/>
          <w:b/>
          <w:bCs/>
          <w:color w:val="000000" w:themeColor="text1"/>
          <w:sz w:val="28"/>
          <w:szCs w:val="28"/>
          <w14:textFill>
            <w14:solidFill>
              <w14:schemeClr w14:val="tx1"/>
            </w14:solidFill>
          </w14:textFill>
        </w:rPr>
        <w:t>。</w:t>
      </w:r>
    </w:p>
    <w:p w14:paraId="05E8F82D">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.2 开标程序</w:t>
      </w:r>
    </w:p>
    <w:p w14:paraId="726DB3F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4.2.1 主持人宣布开标会议开始。</w:t>
      </w:r>
    </w:p>
    <w:p w14:paraId="44582D1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4.2.2 主持人宣布会场纪律</w:t>
      </w:r>
    </w:p>
    <w:p w14:paraId="64B383A9">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（1）遵守会场秩序；</w:t>
      </w:r>
    </w:p>
    <w:p w14:paraId="655AE39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（2）保持会场安静，不得大声喧哗和随意走动，会场内禁止吸烟；</w:t>
      </w:r>
    </w:p>
    <w:p w14:paraId="4624386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（3）有问题询问时必须举手提示，经得同意后方可发言；</w:t>
      </w:r>
    </w:p>
    <w:p w14:paraId="0A1628E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（4）请参会人员关闭移动电话或调置静音状态。</w:t>
      </w:r>
    </w:p>
    <w:p w14:paraId="609AA3A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4.2.3 介绍采购人、监督人、供应商等有关出席会议的单位和人员姓名。</w:t>
      </w:r>
    </w:p>
    <w:p w14:paraId="752DA857">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4.2.4 按照竞争性磋商文件的规定查验并宣布响应文件的密封情况。</w:t>
      </w:r>
    </w:p>
    <w:p w14:paraId="61560B2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4.2.5 由采购人代表、监督相关人员等有关人员组织抽取谈判顺序，并由参与投标的供应商签字确认。</w:t>
      </w:r>
    </w:p>
    <w:p w14:paraId="5FC6DEC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4.2.6 开标会议结束。</w:t>
      </w:r>
    </w:p>
    <w:p w14:paraId="76C35BED">
      <w:pPr>
        <w:pStyle w:val="126"/>
        <w:keepLines w:val="0"/>
        <w:widowControl/>
        <w:spacing w:line="360" w:lineRule="auto"/>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4</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b/>
          <w:bCs/>
          <w:color w:val="000000" w:themeColor="text1"/>
          <w:sz w:val="28"/>
          <w:szCs w:val="28"/>
          <w:lang w:val="en-US" w:eastAsia="zh-CN"/>
          <w14:textFill>
            <w14:solidFill>
              <w14:schemeClr w14:val="tx1"/>
            </w14:solidFill>
          </w14:textFill>
        </w:rPr>
        <w:t>3</w:t>
      </w:r>
      <w:r>
        <w:rPr>
          <w:rFonts w:hint="eastAsia" w:ascii="仿宋" w:hAnsi="仿宋" w:eastAsia="仿宋" w:cs="仿宋"/>
          <w:b/>
          <w:bCs/>
          <w:color w:val="000000" w:themeColor="text1"/>
          <w:sz w:val="28"/>
          <w:szCs w:val="28"/>
          <w14:textFill>
            <w14:solidFill>
              <w14:schemeClr w14:val="tx1"/>
            </w14:solidFill>
          </w14:textFill>
        </w:rPr>
        <w:t>采购人委托的</w:t>
      </w:r>
      <w:r>
        <w:rPr>
          <w:rFonts w:hint="eastAsia" w:ascii="仿宋" w:hAnsi="仿宋" w:eastAsia="仿宋" w:cs="仿宋"/>
          <w:b/>
          <w:bCs/>
          <w:color w:val="000000" w:themeColor="text1"/>
          <w:sz w:val="28"/>
          <w:szCs w:val="28"/>
          <w:lang w:eastAsia="zh-CN"/>
          <w14:textFill>
            <w14:solidFill>
              <w14:schemeClr w14:val="tx1"/>
            </w14:solidFill>
          </w14:textFill>
        </w:rPr>
        <w:t>云南华伟招标有限公司</w:t>
      </w:r>
      <w:r>
        <w:rPr>
          <w:rFonts w:hint="eastAsia" w:ascii="仿宋" w:hAnsi="仿宋" w:eastAsia="仿宋" w:cs="仿宋"/>
          <w:b/>
          <w:bCs/>
          <w:color w:val="000000" w:themeColor="text1"/>
          <w:sz w:val="28"/>
          <w:szCs w:val="28"/>
          <w14:textFill>
            <w14:solidFill>
              <w14:schemeClr w14:val="tx1"/>
            </w14:solidFill>
          </w14:textFill>
        </w:rPr>
        <w:t>对开标过程进行记录，并存档备查。</w:t>
      </w:r>
    </w:p>
    <w:bookmarkEnd w:id="319"/>
    <w:p w14:paraId="62144785">
      <w:pPr>
        <w:pStyle w:val="126"/>
        <w:keepLines w:val="0"/>
        <w:widowControl/>
        <w:spacing w:line="360" w:lineRule="auto"/>
        <w:outlineLvl w:val="1"/>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5.评审</w:t>
      </w:r>
    </w:p>
    <w:p w14:paraId="0CB4C93B">
      <w:pPr>
        <w:pStyle w:val="126"/>
        <w:keepLines w:val="0"/>
        <w:widowControl/>
        <w:spacing w:line="360" w:lineRule="auto"/>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5.1 磋商小组</w:t>
      </w:r>
    </w:p>
    <w:p w14:paraId="5EABED63">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5.1.1 磋商小组由相关专家和采购人代表在开标前依法组建，本采购项目磋商小组构成:3人以上（含3人）单数。</w:t>
      </w:r>
    </w:p>
    <w:p w14:paraId="0BD30DC8">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5.1.2 磋商小组成员与参加采购活动的供应商存在下列利害关系之一的，应当回避:</w:t>
      </w:r>
    </w:p>
    <w:p w14:paraId="77AD1CB3">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(1)参加采购活动前三年内，与供应商存在劳动关系，或者担任过供应商的董事、监事，或者是供应商的控股股东或实际控制人。</w:t>
      </w:r>
    </w:p>
    <w:p w14:paraId="36C2A5E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(2)与供应商的法定代表人或者负责人有夫妻、直系血亲、三代以内旁系血亲或者近姻亲关系。</w:t>
      </w:r>
    </w:p>
    <w:p w14:paraId="7A495BAD">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(3)与供应商有其他可能影响采购活动公平、公正进行的关系。磋商小组成员发现本人与参加采购活动的供应商有利害关系的，应当主动提出回避。采购人或者采购代理机构发现磋商小组成员与参加采购活动的供应商有利害关系的，应当要求其回避。</w:t>
      </w:r>
    </w:p>
    <w:p w14:paraId="2F76878A">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5.1.3 评审中因磋商小组成员缺席、回避或者健康等特殊原因导致磋商小组组成不符合竞争性磋商文件规定的，采购人或者采购代理机构应当按规定补足后继续评审。被更换的磋商小组成员所作出的评审意见无效。无法及时补足磋商小组成员的，采购人或者采购代理机构应当停止评审活动，封存所有响应文件和开标、评审资料，重新组建磋商小组进行评审。原磋商小组所作出的评审意见无效。采购人或者采购代理机构应当将变更、重新组建磋商小组的情况予以记录，并随竞争性磋商文件一并存档。</w:t>
      </w:r>
    </w:p>
    <w:p w14:paraId="7D5464F2">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5.1.4磋商小组负责具体评审事务，并独立履行下列职责：</w:t>
      </w:r>
    </w:p>
    <w:p w14:paraId="7D64735D">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⑴审查、评价响应文件是否符合竞争性磋商文件的实质性要求。</w:t>
      </w:r>
    </w:p>
    <w:p w14:paraId="67821B7E">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⑵要求供应商对响应文件有关事项作出澄清或者说明。</w:t>
      </w:r>
    </w:p>
    <w:p w14:paraId="3BA8C430">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⑶对响应文件进行比较和评价。</w:t>
      </w:r>
    </w:p>
    <w:p w14:paraId="5E87E51A">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⑷确定成交候选人名单。</w:t>
      </w:r>
    </w:p>
    <w:p w14:paraId="39E9872A">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⑸向采购人、采购代理机构或者有关部门评审报告中发现的行为。</w:t>
      </w:r>
    </w:p>
    <w:p w14:paraId="3301D26B">
      <w:pPr>
        <w:pStyle w:val="126"/>
        <w:keepLines w:val="0"/>
        <w:widowControl/>
        <w:spacing w:line="360" w:lineRule="auto"/>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5.2 评审程序</w:t>
      </w:r>
    </w:p>
    <w:p w14:paraId="5CA52365">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5.2.1 主持人宣布评审会议开始。</w:t>
      </w:r>
    </w:p>
    <w:p w14:paraId="2B21B44D">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5.2.2 宣布评审纪律。</w:t>
      </w:r>
    </w:p>
    <w:p w14:paraId="730635E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5.2.3 介绍评审专家、采购人、监督人等有关出席会议的单位和人员姓名。</w:t>
      </w:r>
    </w:p>
    <w:p w14:paraId="7D57EA9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5.2.4 推选磋商小组组长，评审工作在磋商小组组长的主持下进行。</w:t>
      </w:r>
    </w:p>
    <w:p w14:paraId="6685F25E">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5.2.5磋商小组对各响应文件进行初步评审，包括资格性审查及符合性审查；</w:t>
      </w:r>
    </w:p>
    <w:p w14:paraId="0CC191D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5.2.6 磋商小组对各供应商的响应文件进行资格性审查和符合性审查，包括资格性审查及符合性审查。</w:t>
      </w:r>
    </w:p>
    <w:p w14:paraId="153DB993">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5.2.7 磋商小组所有成员集中与单一供应商分别进行磋商谈判，并给予所有参加谈判的供应商平等的磋商谈判机会。通过资格性审查和符合性审查的供应商才能进行磋商谈判。</w:t>
      </w:r>
    </w:p>
    <w:p w14:paraId="7424AD2F">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 xml:space="preserve">5.2.8磋商小组要求所有实质性响应的供应商在规定的时间内提交最后报价，以及对磋商谈判过程中需补充的有关内容进行承诺，并在最后报价和承诺上签字并按手指印。 </w:t>
      </w:r>
    </w:p>
    <w:p w14:paraId="7A547673">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5.2.9 磋商小组对各响应文件技术部分评审评分；</w:t>
      </w:r>
    </w:p>
    <w:p w14:paraId="3B86ACA8">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5.2.10 磋商小组对各响应文件商务部分评审评分；</w:t>
      </w:r>
    </w:p>
    <w:p w14:paraId="70842E5C">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5.2.11 磋商小组对各响应文件技术部分、商务部分、报价部分得分进行统计；</w:t>
      </w:r>
    </w:p>
    <w:p w14:paraId="771C07AD">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5.2.12 磋商小组提交评审报告；</w:t>
      </w:r>
    </w:p>
    <w:p w14:paraId="09BCF867">
      <w:pPr>
        <w:pStyle w:val="126"/>
        <w:keepLines w:val="0"/>
        <w:widowControl/>
        <w:spacing w:line="360" w:lineRule="auto"/>
        <w:outlineLvl w:val="9"/>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5.</w:t>
      </w:r>
      <w:r>
        <w:rPr>
          <w:rFonts w:hint="eastAsia" w:ascii="仿宋" w:hAnsi="仿宋" w:eastAsia="仿宋" w:cs="仿宋"/>
          <w:b/>
          <w:bCs/>
          <w:color w:val="000000" w:themeColor="text1"/>
          <w:sz w:val="28"/>
          <w:szCs w:val="28"/>
          <w:lang w:val="en-US" w:eastAsia="zh-CN"/>
          <w14:textFill>
            <w14:solidFill>
              <w14:schemeClr w14:val="tx1"/>
            </w14:solidFill>
          </w14:textFill>
        </w:rPr>
        <w:t>3</w:t>
      </w:r>
      <w:r>
        <w:rPr>
          <w:rFonts w:hint="eastAsia" w:ascii="仿宋" w:hAnsi="仿宋" w:eastAsia="仿宋" w:cs="仿宋"/>
          <w:b/>
          <w:bCs/>
          <w:color w:val="000000" w:themeColor="text1"/>
          <w:sz w:val="28"/>
          <w:szCs w:val="28"/>
          <w14:textFill>
            <w14:solidFill>
              <w14:schemeClr w14:val="tx1"/>
            </w14:solidFill>
          </w14:textFill>
        </w:rPr>
        <w:t xml:space="preserve"> </w:t>
      </w:r>
      <w:r>
        <w:rPr>
          <w:rFonts w:hint="eastAsia" w:ascii="仿宋" w:hAnsi="仿宋" w:eastAsia="仿宋" w:cs="仿宋"/>
          <w:b/>
          <w:bCs/>
          <w:color w:val="000000" w:themeColor="text1"/>
          <w:sz w:val="28"/>
          <w:szCs w:val="28"/>
          <w:lang w:eastAsia="zh-CN"/>
          <w14:textFill>
            <w14:solidFill>
              <w14:schemeClr w14:val="tx1"/>
            </w14:solidFill>
          </w14:textFill>
        </w:rPr>
        <w:t>采购人</w:t>
      </w:r>
      <w:r>
        <w:rPr>
          <w:rFonts w:hint="eastAsia" w:ascii="仿宋" w:hAnsi="仿宋" w:eastAsia="仿宋" w:cs="仿宋"/>
          <w:b/>
          <w:bCs/>
          <w:color w:val="000000" w:themeColor="text1"/>
          <w:sz w:val="28"/>
          <w:szCs w:val="28"/>
          <w14:textFill>
            <w14:solidFill>
              <w14:schemeClr w14:val="tx1"/>
            </w14:solidFill>
          </w14:textFill>
        </w:rPr>
        <w:t>委托的</w:t>
      </w:r>
      <w:r>
        <w:rPr>
          <w:rFonts w:hint="eastAsia" w:ascii="仿宋" w:hAnsi="仿宋" w:eastAsia="仿宋" w:cs="仿宋"/>
          <w:b/>
          <w:bCs/>
          <w:color w:val="000000" w:themeColor="text1"/>
          <w:sz w:val="28"/>
          <w:szCs w:val="28"/>
          <w:lang w:eastAsia="zh-CN"/>
          <w14:textFill>
            <w14:solidFill>
              <w14:schemeClr w14:val="tx1"/>
            </w14:solidFill>
          </w14:textFill>
        </w:rPr>
        <w:t>云南华伟招标有限公司</w:t>
      </w:r>
      <w:r>
        <w:rPr>
          <w:rFonts w:hint="eastAsia" w:ascii="仿宋" w:hAnsi="仿宋" w:eastAsia="仿宋" w:cs="仿宋"/>
          <w:b/>
          <w:bCs/>
          <w:color w:val="000000" w:themeColor="text1"/>
          <w:sz w:val="28"/>
          <w:szCs w:val="28"/>
          <w14:textFill>
            <w14:solidFill>
              <w14:schemeClr w14:val="tx1"/>
            </w14:solidFill>
          </w14:textFill>
        </w:rPr>
        <w:t>对</w:t>
      </w:r>
      <w:r>
        <w:rPr>
          <w:rFonts w:hint="eastAsia" w:ascii="仿宋" w:hAnsi="仿宋" w:eastAsia="仿宋" w:cs="仿宋"/>
          <w:b/>
          <w:bCs/>
          <w:color w:val="000000" w:themeColor="text1"/>
          <w:sz w:val="28"/>
          <w:szCs w:val="28"/>
          <w:lang w:eastAsia="zh-CN"/>
          <w14:textFill>
            <w14:solidFill>
              <w14:schemeClr w14:val="tx1"/>
            </w14:solidFill>
          </w14:textFill>
        </w:rPr>
        <w:t>评审</w:t>
      </w:r>
      <w:r>
        <w:rPr>
          <w:rFonts w:hint="eastAsia" w:ascii="仿宋" w:hAnsi="仿宋" w:eastAsia="仿宋" w:cs="仿宋"/>
          <w:b/>
          <w:bCs/>
          <w:color w:val="000000" w:themeColor="text1"/>
          <w:sz w:val="28"/>
          <w:szCs w:val="28"/>
          <w14:textFill>
            <w14:solidFill>
              <w14:schemeClr w14:val="tx1"/>
            </w14:solidFill>
          </w14:textFill>
        </w:rPr>
        <w:t>过程进行记录，并存档备查。</w:t>
      </w:r>
    </w:p>
    <w:p w14:paraId="6DF9048B">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5.3.1 评审会议结束。</w:t>
      </w:r>
    </w:p>
    <w:p w14:paraId="09AAD225">
      <w:pPr>
        <w:pStyle w:val="126"/>
        <w:keepLines w:val="0"/>
        <w:widowControl/>
        <w:spacing w:line="360" w:lineRule="auto"/>
        <w:outlineLvl w:val="1"/>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6</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b/>
          <w:bCs/>
          <w:color w:val="000000" w:themeColor="text1"/>
          <w:sz w:val="28"/>
          <w:szCs w:val="28"/>
          <w:lang w:eastAsia="zh-CN"/>
          <w14:textFill>
            <w14:solidFill>
              <w14:schemeClr w14:val="tx1"/>
            </w14:solidFill>
          </w14:textFill>
        </w:rPr>
        <w:t>无效标书情形</w:t>
      </w:r>
    </w:p>
    <w:p w14:paraId="75FD3740">
      <w:pPr>
        <w:pStyle w:val="126"/>
        <w:keepLines w:val="0"/>
        <w:widowControl/>
        <w:spacing w:line="360" w:lineRule="auto"/>
        <w:ind w:firstLine="560" w:firstLineChars="200"/>
        <w:outlineLvl w:val="9"/>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6.1不符合本竞争性磋商文件第三章“评审办法”中资格审查和符合性审查要求之一的，属于无效标书的情形。</w:t>
      </w:r>
    </w:p>
    <w:p w14:paraId="7F4A78D7">
      <w:pPr>
        <w:pStyle w:val="126"/>
        <w:keepLines w:val="0"/>
        <w:widowControl/>
        <w:spacing w:line="360" w:lineRule="auto"/>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Cs w:val="0"/>
          <w:snapToGrid w:val="0"/>
          <w:color w:val="000000" w:themeColor="text1"/>
          <w:kern w:val="21"/>
          <w:sz w:val="28"/>
          <w:szCs w:val="28"/>
          <w:lang w:val="en-US" w:eastAsia="zh-CN" w:bidi="ar-SA"/>
          <w14:textFill>
            <w14:solidFill>
              <w14:schemeClr w14:val="tx1"/>
            </w14:solidFill>
          </w14:textFill>
        </w:rPr>
        <w:t>6.2磋商小组认为供应商的最后报价明显低于其他供应商的报价，有可能影响产品质量或者不能诚信履约的，应当要求其在评审现场合理的时间内提供书面说明，必要时提交相关证明材料；磋商小组要求提交的相关证明材料包含但不限于以下内容：（1）成本构成，包含本身成本、人工费用、机械费用、材料费、税收等说明。（2）在满足竞争性磋商文件各项需求的前提下，能支撑低报价的优势说明等；供应商不能证明其报价合理性的，磋商小组应当将其响应文件作无效标书处理。</w:t>
      </w:r>
      <w:bookmarkEnd w:id="274"/>
      <w:bookmarkEnd w:id="275"/>
    </w:p>
    <w:p w14:paraId="7B76646D">
      <w:pPr>
        <w:pStyle w:val="126"/>
        <w:keepLines w:val="0"/>
        <w:widowControl/>
        <w:spacing w:line="360" w:lineRule="auto"/>
        <w:outlineLvl w:val="1"/>
        <w:rPr>
          <w:rFonts w:hint="eastAsia" w:ascii="仿宋" w:hAnsi="仿宋" w:eastAsia="仿宋" w:cs="仿宋"/>
          <w:b/>
          <w:bCs/>
          <w:color w:val="000000" w:themeColor="text1"/>
          <w:sz w:val="28"/>
          <w:szCs w:val="28"/>
          <w14:textFill>
            <w14:solidFill>
              <w14:schemeClr w14:val="tx1"/>
            </w14:solidFill>
          </w14:textFill>
        </w:rPr>
      </w:pPr>
      <w:bookmarkStart w:id="320" w:name="_Toc25626"/>
      <w:bookmarkStart w:id="321" w:name="_Toc46924566"/>
      <w:r>
        <w:rPr>
          <w:rFonts w:hint="eastAsia" w:ascii="仿宋" w:hAnsi="仿宋" w:eastAsia="仿宋" w:cs="仿宋"/>
          <w:b/>
          <w:bCs/>
          <w:color w:val="000000" w:themeColor="text1"/>
          <w:sz w:val="28"/>
          <w:szCs w:val="28"/>
          <w:lang w:val="en-US" w:eastAsia="zh-CN"/>
          <w14:textFill>
            <w14:solidFill>
              <w14:schemeClr w14:val="tx1"/>
            </w14:solidFill>
          </w14:textFill>
        </w:rPr>
        <w:t>7、</w:t>
      </w:r>
      <w:r>
        <w:rPr>
          <w:rFonts w:hint="eastAsia" w:ascii="仿宋" w:hAnsi="仿宋" w:eastAsia="仿宋" w:cs="仿宋"/>
          <w:b/>
          <w:bCs/>
          <w:color w:val="000000" w:themeColor="text1"/>
          <w:sz w:val="28"/>
          <w:szCs w:val="28"/>
          <w14:textFill>
            <w14:solidFill>
              <w14:schemeClr w14:val="tx1"/>
            </w14:solidFill>
          </w14:textFill>
        </w:rPr>
        <w:t>成交供应商的确定</w:t>
      </w:r>
      <w:bookmarkEnd w:id="320"/>
      <w:bookmarkEnd w:id="321"/>
    </w:p>
    <w:p w14:paraId="2AC36828">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7</w:t>
      </w:r>
      <w:r>
        <w:rPr>
          <w:rFonts w:hint="eastAsia" w:ascii="仿宋" w:hAnsi="仿宋" w:eastAsia="仿宋" w:cs="仿宋"/>
          <w:color w:val="000000" w:themeColor="text1"/>
          <w:sz w:val="28"/>
          <w:szCs w:val="28"/>
          <w14:textFill>
            <w14:solidFill>
              <w14:schemeClr w14:val="tx1"/>
            </w14:solidFill>
          </w14:textFill>
        </w:rPr>
        <w:t>.1采购代理机构在评审结束后2个工作日内将评审报告送采购人确认。</w:t>
      </w:r>
    </w:p>
    <w:p w14:paraId="1C086883">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7</w:t>
      </w:r>
      <w:r>
        <w:rPr>
          <w:rFonts w:hint="eastAsia" w:ascii="仿宋" w:hAnsi="仿宋" w:eastAsia="仿宋" w:cs="仿宋"/>
          <w:color w:val="000000" w:themeColor="text1"/>
          <w:sz w:val="28"/>
          <w:szCs w:val="28"/>
          <w14:textFill>
            <w14:solidFill>
              <w14:schemeClr w14:val="tx1"/>
            </w14:solidFill>
          </w14:textFill>
        </w:rPr>
        <w:t>.2采购人应当在收到评审报告后5个工作日内，从评审报告提出的成交候选供应商中，按照排序由高到低的原则确定成交供应商。本次竞争性磋商不保证授予最低报价的供应商为成交供应商。</w:t>
      </w:r>
    </w:p>
    <w:p w14:paraId="21040566">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7</w:t>
      </w:r>
      <w:r>
        <w:rPr>
          <w:rFonts w:hint="eastAsia" w:ascii="仿宋" w:hAnsi="仿宋" w:eastAsia="仿宋" w:cs="仿宋"/>
          <w:color w:val="000000" w:themeColor="text1"/>
          <w:sz w:val="28"/>
          <w:szCs w:val="28"/>
          <w14:textFill>
            <w14:solidFill>
              <w14:schemeClr w14:val="tx1"/>
            </w14:solidFill>
          </w14:textFill>
        </w:rPr>
        <w:t>.3采购代理机构无义务向未成交供应商解释未成交原因和退回响应文件。</w:t>
      </w:r>
    </w:p>
    <w:p w14:paraId="1B254703">
      <w:pPr>
        <w:pStyle w:val="126"/>
        <w:keepLines w:val="0"/>
        <w:widowControl/>
        <w:spacing w:line="360" w:lineRule="auto"/>
        <w:outlineLvl w:val="1"/>
        <w:rPr>
          <w:rFonts w:hint="eastAsia" w:ascii="仿宋" w:hAnsi="仿宋" w:eastAsia="仿宋" w:cs="仿宋"/>
          <w:b/>
          <w:bCs/>
          <w:color w:val="000000" w:themeColor="text1"/>
          <w:sz w:val="28"/>
          <w:szCs w:val="28"/>
          <w14:textFill>
            <w14:solidFill>
              <w14:schemeClr w14:val="tx1"/>
            </w14:solidFill>
          </w14:textFill>
        </w:rPr>
      </w:pPr>
      <w:bookmarkStart w:id="322" w:name="_Toc497127308"/>
      <w:bookmarkStart w:id="323" w:name="_Toc320890573"/>
      <w:bookmarkStart w:id="324" w:name="_Toc112595555"/>
      <w:bookmarkStart w:id="325" w:name="_Toc46924567"/>
      <w:bookmarkStart w:id="326" w:name="_Toc26233"/>
      <w:r>
        <w:rPr>
          <w:rFonts w:hint="eastAsia" w:ascii="仿宋" w:hAnsi="仿宋" w:eastAsia="仿宋" w:cs="仿宋"/>
          <w:b/>
          <w:bCs/>
          <w:color w:val="000000" w:themeColor="text1"/>
          <w:sz w:val="28"/>
          <w:szCs w:val="28"/>
          <w:lang w:val="en-US" w:eastAsia="zh-CN"/>
          <w14:textFill>
            <w14:solidFill>
              <w14:schemeClr w14:val="tx1"/>
            </w14:solidFill>
          </w14:textFill>
        </w:rPr>
        <w:t>8</w:t>
      </w:r>
      <w:r>
        <w:rPr>
          <w:rFonts w:hint="eastAsia" w:ascii="仿宋" w:hAnsi="仿宋" w:eastAsia="仿宋" w:cs="仿宋"/>
          <w:b/>
          <w:bCs/>
          <w:color w:val="000000" w:themeColor="text1"/>
          <w:sz w:val="28"/>
          <w:szCs w:val="28"/>
          <w14:textFill>
            <w14:solidFill>
              <w14:schemeClr w14:val="tx1"/>
            </w14:solidFill>
          </w14:textFill>
        </w:rPr>
        <w:t>、</w:t>
      </w:r>
      <w:bookmarkEnd w:id="322"/>
      <w:bookmarkEnd w:id="323"/>
      <w:bookmarkEnd w:id="324"/>
      <w:r>
        <w:rPr>
          <w:rFonts w:hint="eastAsia" w:ascii="仿宋" w:hAnsi="仿宋" w:eastAsia="仿宋" w:cs="仿宋"/>
          <w:b/>
          <w:bCs/>
          <w:color w:val="000000" w:themeColor="text1"/>
          <w:sz w:val="28"/>
          <w:szCs w:val="28"/>
          <w14:textFill>
            <w14:solidFill>
              <w14:schemeClr w14:val="tx1"/>
            </w14:solidFill>
          </w14:textFill>
        </w:rPr>
        <w:t>成交通知书</w:t>
      </w:r>
      <w:bookmarkEnd w:id="325"/>
      <w:bookmarkEnd w:id="326"/>
    </w:p>
    <w:p w14:paraId="254DA965">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8</w:t>
      </w:r>
      <w:r>
        <w:rPr>
          <w:rFonts w:hint="eastAsia" w:ascii="仿宋" w:hAnsi="仿宋" w:eastAsia="仿宋" w:cs="仿宋"/>
          <w:color w:val="000000" w:themeColor="text1"/>
          <w:sz w:val="28"/>
          <w:szCs w:val="28"/>
          <w14:textFill>
            <w14:solidFill>
              <w14:schemeClr w14:val="tx1"/>
            </w14:solidFill>
          </w14:textFill>
        </w:rPr>
        <w:t>.1成交供应商确定后2个工作日内，采购代理机构将在中国招标投标公共服务平台上公告成交结果，同时向成交供应商发出成交通知书。成交公告期限为1个工作日。</w:t>
      </w:r>
    </w:p>
    <w:p w14:paraId="07BC6C8E">
      <w:pPr>
        <w:spacing w:line="360" w:lineRule="auto"/>
        <w:ind w:firstLine="560" w:firstLineChars="200"/>
        <w:outlineLvl w:val="9"/>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8</w:t>
      </w:r>
      <w:r>
        <w:rPr>
          <w:rFonts w:hint="eastAsia" w:ascii="仿宋" w:hAnsi="仿宋" w:eastAsia="仿宋" w:cs="仿宋"/>
          <w:color w:val="000000" w:themeColor="text1"/>
          <w:sz w:val="28"/>
          <w:szCs w:val="28"/>
          <w14:textFill>
            <w14:solidFill>
              <w14:schemeClr w14:val="tx1"/>
            </w14:solidFill>
          </w14:textFill>
        </w:rPr>
        <w:t>.2成交通知书是合同的一个组成部分。</w:t>
      </w:r>
    </w:p>
    <w:p w14:paraId="541726B7">
      <w:pPr>
        <w:pStyle w:val="126"/>
        <w:keepLines w:val="0"/>
        <w:widowControl/>
        <w:spacing w:line="360" w:lineRule="auto"/>
        <w:outlineLvl w:val="1"/>
        <w:rPr>
          <w:rFonts w:hint="eastAsia" w:ascii="仿宋" w:hAnsi="仿宋" w:eastAsia="仿宋" w:cs="仿宋"/>
          <w:b/>
          <w:bCs/>
          <w:color w:val="000000" w:themeColor="text1"/>
          <w:sz w:val="28"/>
          <w:szCs w:val="28"/>
          <w14:textFill>
            <w14:solidFill>
              <w14:schemeClr w14:val="tx1"/>
            </w14:solidFill>
          </w14:textFill>
        </w:rPr>
      </w:pPr>
      <w:bookmarkStart w:id="327" w:name="_Toc3842"/>
      <w:bookmarkStart w:id="328" w:name="_Toc46924568"/>
      <w:r>
        <w:rPr>
          <w:rFonts w:hint="eastAsia" w:ascii="仿宋" w:hAnsi="仿宋" w:eastAsia="仿宋" w:cs="仿宋"/>
          <w:b/>
          <w:bCs/>
          <w:color w:val="000000" w:themeColor="text1"/>
          <w:sz w:val="28"/>
          <w:szCs w:val="28"/>
          <w:lang w:val="en-US" w:eastAsia="zh-CN"/>
          <w14:textFill>
            <w14:solidFill>
              <w14:schemeClr w14:val="tx1"/>
            </w14:solidFill>
          </w14:textFill>
        </w:rPr>
        <w:t>9</w:t>
      </w:r>
      <w:r>
        <w:rPr>
          <w:rFonts w:hint="eastAsia" w:ascii="仿宋" w:hAnsi="仿宋" w:eastAsia="仿宋" w:cs="仿宋"/>
          <w:b/>
          <w:bCs/>
          <w:color w:val="000000" w:themeColor="text1"/>
          <w:sz w:val="28"/>
          <w:szCs w:val="28"/>
          <w14:textFill>
            <w14:solidFill>
              <w14:schemeClr w14:val="tx1"/>
            </w14:solidFill>
          </w14:textFill>
        </w:rPr>
        <w:t>、签订合同</w:t>
      </w:r>
      <w:bookmarkEnd w:id="327"/>
      <w:bookmarkEnd w:id="328"/>
    </w:p>
    <w:p w14:paraId="1212CF22">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.1采购人与成交供应商应当在成交通知书发出之日起30日内，按照磋商文件确定的合同文本以及采购标的、规格型号、采购金额、采购数量、技术和服务要求等事项签订政府采购合同。</w:t>
      </w:r>
    </w:p>
    <w:p w14:paraId="06B3908B">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2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14:paraId="0E42CE23">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3除采购人与成交供应商在合同中另行商定将中标项目的非主体、非关键性工作分包的，成交供应商在中标后将中标项目分包的，采购人取消其中标资格，其磋商保证金不予退还；给采购人造成的损失超过磋商保证金数额的，成交供应商还应当对超过部分予以赔偿。</w:t>
      </w:r>
    </w:p>
    <w:p w14:paraId="0ECE81F8">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4政府采购合同履行中，采购人需追加与合同标的相同的货物、工程或者服务的，在不改变合同其他条款的前提下，可以与成交供应商协商签订补充合同，但所有补充合同的采购金额不得超过原合同采购金额的10%。</w:t>
      </w:r>
    </w:p>
    <w:p w14:paraId="4615548B">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.5除不可抗力等因素外，成交通知书发出后，采购人改变成交结果，或者成交供应商拒绝签订政府采购合同的，应当承担相应的法律责任。</w:t>
      </w:r>
    </w:p>
    <w:p w14:paraId="015CBAC4">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9</w:t>
      </w:r>
      <w:r>
        <w:rPr>
          <w:rFonts w:hint="eastAsia" w:ascii="仿宋" w:hAnsi="仿宋" w:eastAsia="仿宋" w:cs="仿宋"/>
          <w:color w:val="000000" w:themeColor="text1"/>
          <w:sz w:val="28"/>
          <w:szCs w:val="28"/>
          <w14:textFill>
            <w14:solidFill>
              <w14:schemeClr w14:val="tx1"/>
            </w14:solidFill>
          </w14:textFill>
        </w:rPr>
        <w:t>.6成交供应商拒绝签订政府采购合同的，采购人可以按照《政府采购竞争性磋商采购方式管理暂行办法》规定的原则确定其他供应商作为成交供应商并签订政府采购合同，也可以重新开展采购活动。拒绝签订政府采购合同的成交供应商不得参加对该项目重新开展的采购活动。</w:t>
      </w:r>
    </w:p>
    <w:p w14:paraId="2CD1B22B">
      <w:pPr>
        <w:pStyle w:val="126"/>
        <w:keepLines w:val="0"/>
        <w:widowControl/>
        <w:spacing w:line="360" w:lineRule="auto"/>
        <w:outlineLvl w:val="1"/>
        <w:rPr>
          <w:rFonts w:hint="eastAsia" w:ascii="仿宋" w:hAnsi="仿宋" w:eastAsia="仿宋" w:cs="仿宋"/>
          <w:b/>
          <w:bCs/>
          <w:color w:val="000000" w:themeColor="text1"/>
          <w:sz w:val="28"/>
          <w:szCs w:val="28"/>
          <w14:textFill>
            <w14:solidFill>
              <w14:schemeClr w14:val="tx1"/>
            </w14:solidFill>
          </w14:textFill>
        </w:rPr>
      </w:pPr>
      <w:bookmarkStart w:id="329" w:name="_Toc296602459"/>
      <w:bookmarkStart w:id="330" w:name="_Toc488184244"/>
      <w:bookmarkStart w:id="331" w:name="_Toc144974537"/>
      <w:bookmarkStart w:id="332" w:name="_Toc246996213"/>
      <w:bookmarkStart w:id="333" w:name="_Toc247085727"/>
      <w:bookmarkStart w:id="334" w:name="_Toc461115644"/>
      <w:bookmarkStart w:id="335" w:name="_Toc246996956"/>
      <w:bookmarkStart w:id="336" w:name="_Toc152042345"/>
      <w:bookmarkStart w:id="337" w:name="_Toc152045569"/>
      <w:bookmarkStart w:id="338" w:name="_Toc179632587"/>
      <w:bookmarkStart w:id="339" w:name="_Toc46924569"/>
      <w:bookmarkStart w:id="340" w:name="_Toc424"/>
      <w:r>
        <w:rPr>
          <w:rFonts w:hint="eastAsia" w:ascii="仿宋" w:hAnsi="仿宋" w:eastAsia="仿宋" w:cs="仿宋"/>
          <w:b/>
          <w:bCs/>
          <w:color w:val="000000" w:themeColor="text1"/>
          <w:sz w:val="28"/>
          <w:szCs w:val="28"/>
          <w:lang w:val="en-US" w:eastAsia="zh-CN"/>
          <w14:textFill>
            <w14:solidFill>
              <w14:schemeClr w14:val="tx1"/>
            </w14:solidFill>
          </w14:textFill>
        </w:rPr>
        <w:t>10</w:t>
      </w:r>
      <w:r>
        <w:rPr>
          <w:rFonts w:hint="eastAsia" w:ascii="仿宋" w:hAnsi="仿宋" w:eastAsia="仿宋" w:cs="仿宋"/>
          <w:b/>
          <w:bCs/>
          <w:color w:val="000000" w:themeColor="text1"/>
          <w:sz w:val="28"/>
          <w:szCs w:val="28"/>
          <w14:textFill>
            <w14:solidFill>
              <w14:schemeClr w14:val="tx1"/>
            </w14:solidFill>
          </w14:textFill>
        </w:rPr>
        <w:t>、</w:t>
      </w:r>
      <w:bookmarkEnd w:id="329"/>
      <w:bookmarkEnd w:id="330"/>
      <w:bookmarkEnd w:id="331"/>
      <w:bookmarkEnd w:id="332"/>
      <w:bookmarkEnd w:id="333"/>
      <w:bookmarkEnd w:id="334"/>
      <w:bookmarkEnd w:id="335"/>
      <w:bookmarkEnd w:id="336"/>
      <w:bookmarkEnd w:id="337"/>
      <w:bookmarkEnd w:id="338"/>
      <w:r>
        <w:rPr>
          <w:rFonts w:hint="eastAsia" w:ascii="仿宋" w:hAnsi="仿宋" w:eastAsia="仿宋" w:cs="仿宋"/>
          <w:b/>
          <w:bCs/>
          <w:color w:val="000000" w:themeColor="text1"/>
          <w:sz w:val="28"/>
          <w:szCs w:val="28"/>
          <w14:textFill>
            <w14:solidFill>
              <w14:schemeClr w14:val="tx1"/>
            </w14:solidFill>
          </w14:textFill>
        </w:rPr>
        <w:t>履约保证金</w:t>
      </w:r>
      <w:bookmarkEnd w:id="339"/>
      <w:r>
        <w:rPr>
          <w:rFonts w:hint="eastAsia" w:ascii="仿宋" w:hAnsi="仿宋" w:eastAsia="仿宋" w:cs="仿宋"/>
          <w:b/>
          <w:bCs/>
          <w:color w:val="000000" w:themeColor="text1"/>
          <w:sz w:val="28"/>
          <w:szCs w:val="28"/>
          <w14:textFill>
            <w14:solidFill>
              <w14:schemeClr w14:val="tx1"/>
            </w14:solidFill>
          </w14:textFill>
        </w:rPr>
        <w:t>（本项目无履约保证金）</w:t>
      </w:r>
      <w:bookmarkEnd w:id="340"/>
    </w:p>
    <w:p w14:paraId="5359074D">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10</w:t>
      </w:r>
      <w:r>
        <w:rPr>
          <w:rFonts w:hint="eastAsia" w:ascii="仿宋" w:hAnsi="仿宋" w:eastAsia="仿宋" w:cs="仿宋"/>
          <w:color w:val="000000" w:themeColor="text1"/>
          <w:sz w:val="28"/>
          <w:szCs w:val="28"/>
          <w14:textFill>
            <w14:solidFill>
              <w14:schemeClr w14:val="tx1"/>
            </w14:solidFill>
          </w14:textFill>
        </w:rPr>
        <w:t>.1在签订政府采购合同前，成交供应商应向采购人提交履约保证金，履约保证金递交的金额及形式详见《供应商须知前附表》。</w:t>
      </w:r>
    </w:p>
    <w:p w14:paraId="05B39679">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10</w:t>
      </w:r>
      <w:r>
        <w:rPr>
          <w:rFonts w:hint="eastAsia" w:ascii="仿宋" w:hAnsi="仿宋" w:eastAsia="仿宋" w:cs="仿宋"/>
          <w:color w:val="000000" w:themeColor="text1"/>
          <w:sz w:val="28"/>
          <w:szCs w:val="28"/>
          <w14:textFill>
            <w14:solidFill>
              <w14:schemeClr w14:val="tx1"/>
            </w14:solidFill>
          </w14:textFill>
        </w:rPr>
        <w:t>.2签订合同后，除因不可抗力或磋商文件认可的情形以外，成交供应商不与采购人签订合同的，视为自动放弃，采购人将没收其全部履约保证金，履约保证金不足以赔偿损失的，按实际损失赔偿。</w:t>
      </w:r>
    </w:p>
    <w:p w14:paraId="65DF3127">
      <w:pPr>
        <w:pStyle w:val="157"/>
        <w:keepNext w:val="0"/>
        <w:keepLines w:val="0"/>
        <w:pageBreakBefore w:val="0"/>
        <w:kinsoku/>
        <w:wordWrap w:val="0"/>
        <w:overflowPunct/>
        <w:topLinePunct w:val="0"/>
        <w:autoSpaceDE/>
        <w:bidi w:val="0"/>
        <w:adjustRightInd/>
        <w:spacing w:before="0" w:after="0" w:line="500" w:lineRule="exact"/>
        <w:jc w:val="both"/>
        <w:textAlignment w:val="auto"/>
        <w:outlineLvl w:val="1"/>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pPr>
      <w:bookmarkStart w:id="341" w:name="_Toc6115"/>
      <w:bookmarkStart w:id="342" w:name="_Toc46924573"/>
      <w:r>
        <w:rPr>
          <w:rFonts w:hint="eastAsia" w:ascii="仿宋" w:hAnsi="仿宋" w:eastAsia="仿宋" w:cs="仿宋"/>
          <w:b/>
          <w:bCs/>
          <w:snapToGrid/>
          <w:color w:val="000000" w:themeColor="text1"/>
          <w:kern w:val="2"/>
          <w:sz w:val="28"/>
          <w:szCs w:val="28"/>
          <w:lang w:val="en-US" w:eastAsia="zh-CN" w:bidi="ar-SA"/>
          <w14:textFill>
            <w14:solidFill>
              <w14:schemeClr w14:val="tx1"/>
            </w14:solidFill>
          </w14:textFill>
        </w:rPr>
        <w:t>11、</w:t>
      </w:r>
      <w:bookmarkEnd w:id="341"/>
      <w:bookmarkEnd w:id="342"/>
      <w:r>
        <w:rPr>
          <w:rFonts w:hint="eastAsia" w:ascii="仿宋" w:hAnsi="仿宋" w:eastAsia="仿宋" w:cs="仿宋"/>
          <w:b/>
          <w:bCs/>
          <w:snapToGrid/>
          <w:color w:val="000000" w:themeColor="text1"/>
          <w:kern w:val="2"/>
          <w:sz w:val="28"/>
          <w:szCs w:val="28"/>
          <w:lang w:val="zh-CN" w:eastAsia="zh-CN" w:bidi="ar-SA"/>
          <w14:textFill>
            <w14:solidFill>
              <w14:schemeClr w14:val="tx1"/>
            </w14:solidFill>
          </w14:textFill>
        </w:rPr>
        <w:t>质疑和投诉</w:t>
      </w:r>
    </w:p>
    <w:p w14:paraId="4D7BAD74">
      <w:pPr>
        <w:pageBreakBefore w:val="0"/>
        <w:kinsoku/>
        <w:wordWrap w:val="0"/>
        <w:overflowPunct/>
        <w:topLinePunct w:val="0"/>
        <w:autoSpaceDE/>
        <w:bidi w:val="0"/>
        <w:adjustRightInd/>
        <w:spacing w:line="5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1本项目的质疑和投诉行为应遵循《中华人民共和国政府采购法》《中华人民共和国政府采购法实施条例》《政府采购质疑和投诉办法》（财政部令第94号）和其他有关法律法规规定，供应商提出质疑和投诉应当坚持依法依规、诚实信用原则。</w:t>
      </w:r>
    </w:p>
    <w:p w14:paraId="6982CE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2供应商认为采购文件、采购过程、成交结果使自己的权益受到损害的，可以在知道或者应知其权益受到损害之日起7个工作日内，以书面形式向采购人、采购代理机构提出质疑。供应商须在法定质疑期内一次性提出针对同一采购程序环节的质疑。</w:t>
      </w:r>
    </w:p>
    <w:p w14:paraId="09E37C5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outlineLvl w:val="9"/>
        <w:rPr>
          <w:rFonts w:hint="eastAsia" w:ascii="仿宋" w:hAnsi="仿宋" w:eastAsia="仿宋" w:cs="仿宋"/>
          <w:color w:val="auto"/>
          <w:sz w:val="28"/>
          <w:szCs w:val="28"/>
          <w:highlight w:val="none"/>
        </w:rPr>
      </w:pPr>
      <w:bookmarkStart w:id="343" w:name="_Hlt101849245"/>
      <w:bookmarkEnd w:id="343"/>
      <w:bookmarkStart w:id="344" w:name="_Hlt240864099"/>
      <w:bookmarkEnd w:id="344"/>
      <w:bookmarkStart w:id="345" w:name="_Hlt106077737"/>
      <w:bookmarkEnd w:id="345"/>
      <w:bookmarkStart w:id="346" w:name="_Hlt109472861"/>
      <w:bookmarkEnd w:id="346"/>
      <w:bookmarkStart w:id="347" w:name="_Hlt109633976"/>
      <w:bookmarkEnd w:id="347"/>
      <w:bookmarkStart w:id="348" w:name="_Hlt106081173"/>
      <w:bookmarkEnd w:id="348"/>
      <w:bookmarkStart w:id="349" w:name="_Hlt105494925"/>
      <w:bookmarkEnd w:id="349"/>
      <w:bookmarkStart w:id="350" w:name="_Hlt105496931"/>
      <w:bookmarkEnd w:id="350"/>
      <w:bookmarkStart w:id="351" w:name="_Hlt98215706"/>
      <w:bookmarkEnd w:id="351"/>
      <w:bookmarkStart w:id="352" w:name="_Hlt106009965"/>
      <w:bookmarkEnd w:id="352"/>
      <w:bookmarkStart w:id="353" w:name="_Hlt110048802"/>
      <w:bookmarkEnd w:id="353"/>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 xml:space="preserve">.3质疑函的接收 </w:t>
      </w:r>
    </w:p>
    <w:p w14:paraId="321DFC9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.3.1接收质疑函的方式：</w:t>
      </w:r>
      <w:r>
        <w:rPr>
          <w:rFonts w:hint="eastAsia" w:ascii="仿宋" w:hAnsi="仿宋" w:eastAsia="仿宋" w:cs="仿宋"/>
          <w:color w:val="auto"/>
          <w:sz w:val="28"/>
          <w:szCs w:val="28"/>
          <w:highlight w:val="none"/>
          <w:lang w:eastAsia="zh-CN"/>
        </w:rPr>
        <w:t>供应商以书面形式向采购人、采购代理机构提出质疑。</w:t>
      </w:r>
    </w:p>
    <w:p w14:paraId="47983A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.3.2采购人、采购代理机构接收质疑函的联系部门、联系电话和通讯地址：详见竞争性磋商公告。</w:t>
      </w:r>
    </w:p>
    <w:p w14:paraId="589422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.4供应商提出质疑应当提交质疑函和必要的证明材料。质疑函应当包括下列内容：</w:t>
      </w:r>
    </w:p>
    <w:p w14:paraId="47894E7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.4.1供应商的姓名或者名称、地址、邮编、联系人及联系电话。</w:t>
      </w:r>
    </w:p>
    <w:p w14:paraId="52B5264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.4.2质疑项目的名称、编号。</w:t>
      </w:r>
    </w:p>
    <w:p w14:paraId="2940204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.4.3具体、明确的质疑事项和与质疑事项相关的请求。</w:t>
      </w:r>
    </w:p>
    <w:p w14:paraId="3E0C8D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.4.4事实依据。</w:t>
      </w:r>
    </w:p>
    <w:p w14:paraId="7F53803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.4.5必要的法律依据。</w:t>
      </w:r>
    </w:p>
    <w:p w14:paraId="0A2863A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.4.6提出质疑的日期。</w:t>
      </w:r>
    </w:p>
    <w:p w14:paraId="68E64DD7">
      <w:pPr>
        <w:pStyle w:val="14"/>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供应商为自然人的，应当由本人签字；供应商为法人或者其他组织的，应当由法定代表人、主要负责人，或者其授权代表签字或者盖章，并加盖公章。</w:t>
      </w:r>
    </w:p>
    <w:p w14:paraId="5802CB1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5供应商可以委托代理人进行质疑。其授权委托书应当载明代理人的姓名或者名称、代理事项、具体权限、期限和相关事项。供应商为自然人的，应当由本人签字；供应商为法人或者其他组织的，应当由法定代表人、主要负责人签字或者盖章，并加盖公章。代理人提出质疑，应当提交供应商签署的授权委托书。</w:t>
      </w:r>
    </w:p>
    <w:p w14:paraId="3254C96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.6采购人、采购代理机构在收到质疑函后7个工作日内作出答复，并以书面形式通知质疑供应商和其他有关供应商。</w:t>
      </w:r>
    </w:p>
    <w:p w14:paraId="66C5B6A3">
      <w:pPr>
        <w:spacing w:line="360" w:lineRule="auto"/>
        <w:ind w:firstLine="560" w:firstLineChars="200"/>
        <w:jc w:val="left"/>
        <w:rPr>
          <w:rFonts w:hint="eastAsia" w:ascii="仿宋" w:hAnsi="仿宋" w:eastAsia="仿宋" w:cs="仿宋"/>
          <w:color w:val="000000" w:themeColor="text1"/>
          <w:sz w:val="21"/>
          <w:szCs w:val="21"/>
          <w:lang w:val="zh-CN"/>
          <w14:textFill>
            <w14:solidFill>
              <w14:schemeClr w14:val="tx1"/>
            </w14:solidFill>
          </w14:textFill>
        </w:rPr>
      </w:pPr>
      <w:r>
        <w:rPr>
          <w:rFonts w:hint="eastAsia" w:ascii="仿宋" w:hAnsi="仿宋" w:eastAsia="仿宋" w:cs="仿宋"/>
          <w:color w:val="auto"/>
          <w:sz w:val="28"/>
          <w:szCs w:val="28"/>
          <w:highlight w:val="none"/>
          <w:lang w:eastAsia="zh-CN"/>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.7质疑人对采购人的答复不满意或者采购人未在规定的时间内做出答复的，可以在答复期满后15个工作日内管理办公室投诉‬‬</w:t>
      </w:r>
      <w:r>
        <w:rPr>
          <w:rFonts w:hint="eastAsia" w:ascii="仿宋" w:hAnsi="仿宋" w:eastAsia="仿宋" w:cs="仿宋"/>
          <w:color w:val="auto"/>
          <w:sz w:val="28"/>
          <w:szCs w:val="28"/>
          <w:highlight w:val="none"/>
          <w:lang w:val="zh-CN"/>
        </w:rPr>
        <w:t>。</w:t>
      </w:r>
    </w:p>
    <w:p w14:paraId="11203CD7">
      <w:pPr>
        <w:rPr>
          <w:rFonts w:hint="eastAsia" w:ascii="仿宋" w:hAnsi="仿宋" w:eastAsia="仿宋" w:cs="仿宋"/>
        </w:rPr>
      </w:pPr>
    </w:p>
    <w:p w14:paraId="4619D36A">
      <w:pPr>
        <w:rPr>
          <w:rFonts w:hint="eastAsia" w:ascii="仿宋" w:hAnsi="仿宋" w:eastAsia="仿宋" w:cs="仿宋"/>
          <w:color w:val="000000" w:themeColor="text1"/>
          <w:sz w:val="36"/>
          <w:szCs w:val="36"/>
          <w:lang w:val="zh-CN"/>
          <w14:textFill>
            <w14:solidFill>
              <w14:schemeClr w14:val="tx1"/>
            </w14:solidFill>
          </w14:textFill>
        </w:rPr>
      </w:pPr>
      <w:r>
        <w:rPr>
          <w:rFonts w:hint="eastAsia" w:ascii="仿宋" w:hAnsi="仿宋" w:eastAsia="仿宋" w:cs="仿宋"/>
          <w:color w:val="000000" w:themeColor="text1"/>
          <w:sz w:val="36"/>
          <w:szCs w:val="36"/>
          <w:lang w:val="zh-CN"/>
          <w14:textFill>
            <w14:solidFill>
              <w14:schemeClr w14:val="tx1"/>
            </w14:solidFill>
          </w14:textFill>
        </w:rPr>
        <w:br w:type="page"/>
      </w:r>
    </w:p>
    <w:p w14:paraId="025B27D3">
      <w:pPr>
        <w:pStyle w:val="2"/>
        <w:keepNext/>
        <w:keepLines/>
        <w:pageBreakBefore w:val="0"/>
        <w:widowControl/>
        <w:kinsoku/>
        <w:wordWrap/>
        <w:overflowPunct/>
        <w:topLinePunct w:val="0"/>
        <w:autoSpaceDE/>
        <w:autoSpaceDN/>
        <w:bidi w:val="0"/>
        <w:adjustRightInd/>
        <w:snapToGrid/>
        <w:spacing w:before="240" w:after="240"/>
        <w:textAlignment w:val="auto"/>
        <w:rPr>
          <w:rFonts w:hint="eastAsia" w:ascii="仿宋" w:hAnsi="仿宋" w:eastAsia="仿宋" w:cs="仿宋"/>
          <w:color w:val="000000" w:themeColor="text1"/>
          <w:sz w:val="36"/>
          <w:szCs w:val="36"/>
          <w:lang w:val="zh-CN"/>
          <w14:textFill>
            <w14:solidFill>
              <w14:schemeClr w14:val="tx1"/>
            </w14:solidFill>
          </w14:textFill>
        </w:rPr>
      </w:pPr>
      <w:bookmarkStart w:id="354" w:name="_Toc16951"/>
      <w:bookmarkStart w:id="355" w:name="_Toc19934"/>
      <w:bookmarkStart w:id="356" w:name="_Toc18707"/>
      <w:r>
        <w:rPr>
          <w:rFonts w:hint="eastAsia" w:ascii="仿宋" w:hAnsi="仿宋" w:eastAsia="仿宋" w:cs="仿宋"/>
          <w:color w:val="000000" w:themeColor="text1"/>
          <w:sz w:val="36"/>
          <w:szCs w:val="36"/>
          <w:lang w:val="zh-CN"/>
          <w14:textFill>
            <w14:solidFill>
              <w14:schemeClr w14:val="tx1"/>
            </w14:solidFill>
          </w14:textFill>
        </w:rPr>
        <w:t xml:space="preserve">第三章  </w:t>
      </w:r>
      <w:bookmarkEnd w:id="269"/>
      <w:bookmarkEnd w:id="354"/>
      <w:r>
        <w:rPr>
          <w:rFonts w:hint="eastAsia" w:ascii="仿宋" w:hAnsi="仿宋" w:eastAsia="仿宋" w:cs="仿宋"/>
          <w:color w:val="000000" w:themeColor="text1"/>
          <w:sz w:val="36"/>
          <w:szCs w:val="36"/>
          <w:lang w:val="zh-CN"/>
          <w14:textFill>
            <w14:solidFill>
              <w14:schemeClr w14:val="tx1"/>
            </w14:solidFill>
          </w14:textFill>
        </w:rPr>
        <w:t>合同书样式及主要条款（参考）</w:t>
      </w:r>
      <w:bookmarkEnd w:id="355"/>
      <w:bookmarkEnd w:id="356"/>
    </w:p>
    <w:p w14:paraId="6634685F">
      <w:pPr>
        <w:jc w:val="center"/>
        <w:outlineLvl w:val="9"/>
        <w:rPr>
          <w:rFonts w:hint="eastAsia" w:ascii="仿宋" w:hAnsi="仿宋" w:eastAsia="仿宋" w:cs="仿宋"/>
          <w:b/>
          <w:bCs/>
          <w:color w:val="000000" w:themeColor="text1"/>
          <w:sz w:val="28"/>
          <w:szCs w:val="28"/>
          <w:lang w:eastAsia="zh-CN"/>
          <w14:textFill>
            <w14:solidFill>
              <w14:schemeClr w14:val="tx1"/>
            </w14:solidFill>
          </w14:textFill>
        </w:rPr>
      </w:pPr>
      <w:bookmarkStart w:id="357" w:name="_Toc46924576"/>
      <w:r>
        <w:rPr>
          <w:rFonts w:hint="eastAsia" w:ascii="仿宋" w:hAnsi="仿宋" w:eastAsia="仿宋" w:cs="仿宋"/>
          <w:b/>
          <w:bCs/>
          <w:color w:val="000000" w:themeColor="text1"/>
          <w:sz w:val="28"/>
          <w:szCs w:val="28"/>
          <w14:textFill>
            <w14:solidFill>
              <w14:schemeClr w14:val="tx1"/>
            </w14:solidFill>
          </w14:textFill>
        </w:rPr>
        <w:t>合同条款及格式仅作为参考</w:t>
      </w:r>
      <w:r>
        <w:rPr>
          <w:rFonts w:hint="eastAsia" w:ascii="仿宋" w:hAnsi="仿宋" w:eastAsia="仿宋" w:cs="仿宋"/>
          <w:b/>
          <w:bCs/>
          <w:color w:val="000000" w:themeColor="text1"/>
          <w:sz w:val="28"/>
          <w:szCs w:val="28"/>
          <w:lang w:eastAsia="zh-CN"/>
          <w14:textFill>
            <w14:solidFill>
              <w14:schemeClr w14:val="tx1"/>
            </w14:solidFill>
          </w14:textFill>
        </w:rPr>
        <w:t>，具体以采购人及中标人双方签订为准。</w:t>
      </w:r>
    </w:p>
    <w:p w14:paraId="388D57C5">
      <w:pPr>
        <w:jc w:val="center"/>
        <w:outlineLvl w:val="9"/>
        <w:rPr>
          <w:rFonts w:hint="eastAsia" w:ascii="仿宋" w:hAnsi="仿宋" w:eastAsia="仿宋" w:cs="仿宋"/>
          <w:b/>
          <w:bCs/>
          <w:color w:val="000000" w:themeColor="text1"/>
          <w:sz w:val="28"/>
          <w:szCs w:val="28"/>
          <w14:textFill>
            <w14:solidFill>
              <w14:schemeClr w14:val="tx1"/>
            </w14:solidFill>
          </w14:textFill>
        </w:rPr>
      </w:pPr>
    </w:p>
    <w:p w14:paraId="4F26ECB6">
      <w:pPr>
        <w:jc w:val="center"/>
        <w:outlineLvl w:val="9"/>
        <w:rPr>
          <w:rFonts w:hint="eastAsia" w:ascii="仿宋" w:hAnsi="仿宋" w:eastAsia="仿宋" w:cs="仿宋"/>
          <w:b/>
          <w:bCs/>
          <w:color w:val="000000" w:themeColor="text1"/>
          <w:sz w:val="56"/>
          <w:szCs w:val="56"/>
          <w14:textFill>
            <w14:solidFill>
              <w14:schemeClr w14:val="tx1"/>
            </w14:solidFill>
          </w14:textFill>
        </w:rPr>
      </w:pPr>
    </w:p>
    <w:p w14:paraId="2F2305E5">
      <w:pPr>
        <w:spacing w:line="360" w:lineRule="auto"/>
        <w:jc w:val="center"/>
        <w:rPr>
          <w:rFonts w:hint="eastAsia" w:ascii="仿宋" w:hAnsi="仿宋" w:eastAsia="仿宋" w:cs="仿宋"/>
          <w:b/>
          <w:bCs/>
          <w:color w:val="000000" w:themeColor="text1"/>
          <w:sz w:val="52"/>
          <w:szCs w:val="52"/>
          <w14:textFill>
            <w14:solidFill>
              <w14:schemeClr w14:val="tx1"/>
            </w14:solidFill>
          </w14:textFill>
        </w:rPr>
      </w:pPr>
      <w:r>
        <w:rPr>
          <w:rFonts w:hint="eastAsia" w:ascii="仿宋" w:hAnsi="仿宋" w:eastAsia="仿宋" w:cs="仿宋"/>
          <w:b/>
          <w:bCs/>
          <w:color w:val="000000" w:themeColor="text1"/>
          <w:sz w:val="52"/>
          <w:szCs w:val="52"/>
          <w14:textFill>
            <w14:solidFill>
              <w14:schemeClr w14:val="tx1"/>
            </w14:solidFill>
          </w14:textFill>
        </w:rPr>
        <w:t>建设工程监理合同</w:t>
      </w:r>
    </w:p>
    <w:p w14:paraId="6DA5FBA7">
      <w:pPr>
        <w:spacing w:line="360" w:lineRule="auto"/>
        <w:jc w:val="center"/>
        <w:rPr>
          <w:rFonts w:hint="eastAsia" w:ascii="仿宋" w:hAnsi="仿宋" w:eastAsia="仿宋" w:cs="仿宋"/>
          <w:b/>
          <w:bCs/>
          <w:color w:val="000000" w:themeColor="text1"/>
          <w:sz w:val="52"/>
          <w:szCs w:val="52"/>
          <w14:textFill>
            <w14:solidFill>
              <w14:schemeClr w14:val="tx1"/>
            </w14:solidFill>
          </w14:textFill>
        </w:rPr>
      </w:pPr>
      <w:r>
        <w:rPr>
          <w:rFonts w:hint="eastAsia" w:ascii="仿宋" w:hAnsi="仿宋" w:eastAsia="仿宋" w:cs="仿宋"/>
          <w:b/>
          <w:bCs/>
          <w:color w:val="000000" w:themeColor="text1"/>
          <w:sz w:val="52"/>
          <w:szCs w:val="52"/>
          <w14:textFill>
            <w14:solidFill>
              <w14:schemeClr w14:val="tx1"/>
            </w14:solidFill>
          </w14:textFill>
        </w:rPr>
        <w:t>（示范文本）</w:t>
      </w:r>
    </w:p>
    <w:p w14:paraId="13B4313A">
      <w:pPr>
        <w:spacing w:line="360" w:lineRule="auto"/>
        <w:jc w:val="center"/>
        <w:rPr>
          <w:rFonts w:hint="eastAsia" w:ascii="仿宋" w:hAnsi="仿宋" w:eastAsia="仿宋" w:cs="仿宋"/>
          <w:bCs/>
          <w:color w:val="000000" w:themeColor="text1"/>
          <w:sz w:val="48"/>
          <w:szCs w:val="48"/>
          <w14:textFill>
            <w14:solidFill>
              <w14:schemeClr w14:val="tx1"/>
            </w14:solidFill>
          </w14:textFill>
        </w:rPr>
      </w:pPr>
    </w:p>
    <w:p w14:paraId="02D145C8">
      <w:pPr>
        <w:spacing w:line="360" w:lineRule="auto"/>
        <w:jc w:val="center"/>
        <w:rPr>
          <w:rFonts w:hint="eastAsia" w:ascii="仿宋" w:hAnsi="仿宋" w:eastAsia="仿宋" w:cs="仿宋"/>
          <w:b/>
          <w:bCs/>
          <w:color w:val="000000" w:themeColor="text1"/>
          <w:sz w:val="24"/>
          <w14:textFill>
            <w14:solidFill>
              <w14:schemeClr w14:val="tx1"/>
            </w14:solidFill>
          </w14:textFill>
        </w:rPr>
      </w:pPr>
    </w:p>
    <w:p w14:paraId="316EB69D">
      <w:pPr>
        <w:spacing w:line="360" w:lineRule="auto"/>
        <w:jc w:val="center"/>
        <w:rPr>
          <w:rFonts w:hint="eastAsia" w:ascii="仿宋" w:hAnsi="仿宋" w:eastAsia="仿宋" w:cs="仿宋"/>
          <w:b/>
          <w:bCs/>
          <w:color w:val="000000" w:themeColor="text1"/>
          <w:sz w:val="24"/>
          <w14:textFill>
            <w14:solidFill>
              <w14:schemeClr w14:val="tx1"/>
            </w14:solidFill>
          </w14:textFill>
        </w:rPr>
      </w:pPr>
    </w:p>
    <w:p w14:paraId="7F607E46">
      <w:pPr>
        <w:spacing w:line="360" w:lineRule="auto"/>
        <w:rPr>
          <w:rFonts w:hint="eastAsia" w:ascii="仿宋" w:hAnsi="仿宋" w:eastAsia="仿宋" w:cs="仿宋"/>
          <w:b/>
          <w:bCs/>
          <w:color w:val="000000" w:themeColor="text1"/>
          <w:sz w:val="24"/>
          <w14:textFill>
            <w14:solidFill>
              <w14:schemeClr w14:val="tx1"/>
            </w14:solidFill>
          </w14:textFill>
        </w:rPr>
      </w:pPr>
    </w:p>
    <w:p w14:paraId="33D94116">
      <w:pPr>
        <w:spacing w:line="360" w:lineRule="auto"/>
        <w:rPr>
          <w:rFonts w:hint="eastAsia" w:ascii="仿宋" w:hAnsi="仿宋" w:eastAsia="仿宋" w:cs="仿宋"/>
          <w:b/>
          <w:bCs/>
          <w:color w:val="000000" w:themeColor="text1"/>
          <w:sz w:val="24"/>
          <w14:textFill>
            <w14:solidFill>
              <w14:schemeClr w14:val="tx1"/>
            </w14:solidFill>
          </w14:textFill>
        </w:rPr>
      </w:pPr>
    </w:p>
    <w:p w14:paraId="34D5C151">
      <w:pPr>
        <w:pStyle w:val="19"/>
        <w:rPr>
          <w:rFonts w:hint="eastAsia" w:ascii="仿宋" w:hAnsi="仿宋" w:eastAsia="仿宋" w:cs="仿宋"/>
          <w:b/>
          <w:bCs/>
          <w:color w:val="000000" w:themeColor="text1"/>
          <w:sz w:val="24"/>
          <w14:textFill>
            <w14:solidFill>
              <w14:schemeClr w14:val="tx1"/>
            </w14:solidFill>
          </w14:textFill>
        </w:rPr>
      </w:pPr>
    </w:p>
    <w:p w14:paraId="7B714B62">
      <w:pPr>
        <w:rPr>
          <w:rFonts w:hint="eastAsia" w:ascii="仿宋" w:hAnsi="仿宋" w:eastAsia="仿宋" w:cs="仿宋"/>
          <w:b/>
          <w:bCs/>
          <w:color w:val="000000" w:themeColor="text1"/>
          <w:sz w:val="24"/>
          <w14:textFill>
            <w14:solidFill>
              <w14:schemeClr w14:val="tx1"/>
            </w14:solidFill>
          </w14:textFill>
        </w:rPr>
      </w:pPr>
    </w:p>
    <w:p w14:paraId="246BBA28">
      <w:pPr>
        <w:pStyle w:val="19"/>
        <w:rPr>
          <w:rFonts w:hint="eastAsia" w:ascii="仿宋" w:hAnsi="仿宋" w:eastAsia="仿宋" w:cs="仿宋"/>
          <w:b/>
          <w:bCs/>
          <w:color w:val="000000" w:themeColor="text1"/>
          <w:sz w:val="24"/>
          <w14:textFill>
            <w14:solidFill>
              <w14:schemeClr w14:val="tx1"/>
            </w14:solidFill>
          </w14:textFill>
        </w:rPr>
      </w:pPr>
    </w:p>
    <w:p w14:paraId="07CE97EE">
      <w:pPr>
        <w:rPr>
          <w:rFonts w:hint="eastAsia" w:ascii="仿宋" w:hAnsi="仿宋" w:eastAsia="仿宋" w:cs="仿宋"/>
          <w:b/>
          <w:bCs/>
          <w:color w:val="000000" w:themeColor="text1"/>
          <w:sz w:val="24"/>
          <w14:textFill>
            <w14:solidFill>
              <w14:schemeClr w14:val="tx1"/>
            </w14:solidFill>
          </w14:textFill>
        </w:rPr>
      </w:pPr>
    </w:p>
    <w:p w14:paraId="46C9F41B">
      <w:pPr>
        <w:pStyle w:val="19"/>
        <w:rPr>
          <w:rFonts w:hint="eastAsia" w:ascii="仿宋" w:hAnsi="仿宋" w:eastAsia="仿宋" w:cs="仿宋"/>
        </w:rPr>
      </w:pPr>
    </w:p>
    <w:p w14:paraId="30A2B3FF">
      <w:pPr>
        <w:spacing w:line="360" w:lineRule="auto"/>
        <w:rPr>
          <w:rFonts w:hint="eastAsia" w:ascii="仿宋" w:hAnsi="仿宋" w:eastAsia="仿宋" w:cs="仿宋"/>
          <w:b/>
          <w:bCs/>
          <w:color w:val="000000" w:themeColor="text1"/>
          <w:sz w:val="24"/>
          <w14:textFill>
            <w14:solidFill>
              <w14:schemeClr w14:val="tx1"/>
            </w14:solidFill>
          </w14:textFill>
        </w:rPr>
      </w:pPr>
    </w:p>
    <w:p w14:paraId="6CE010A8">
      <w:pPr>
        <w:spacing w:line="360" w:lineRule="auto"/>
        <w:jc w:val="center"/>
        <w:rPr>
          <w:rFonts w:hint="eastAsia" w:ascii="仿宋" w:hAnsi="仿宋" w:eastAsia="仿宋" w:cs="仿宋"/>
          <w:b/>
          <w:color w:val="000000" w:themeColor="text1"/>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 xml:space="preserve">  住房和城乡建设部</w:t>
      </w:r>
    </w:p>
    <w:p w14:paraId="6AEBE0C2">
      <w:pPr>
        <w:spacing w:line="360" w:lineRule="auto"/>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14:textFill>
            <w14:solidFill>
              <w14:schemeClr w14:val="tx1"/>
            </w14:solidFill>
          </w14:textFill>
        </w:rPr>
        <w:t xml:space="preserve">                                                          </w:t>
      </w:r>
      <w:r>
        <w:rPr>
          <w:rFonts w:hint="eastAsia" w:ascii="仿宋" w:hAnsi="仿宋" w:eastAsia="仿宋" w:cs="仿宋"/>
          <w:b/>
          <w:color w:val="000000" w:themeColor="text1"/>
          <w:sz w:val="32"/>
          <w:szCs w:val="32"/>
          <w14:textFill>
            <w14:solidFill>
              <w14:schemeClr w14:val="tx1"/>
            </w14:solidFill>
          </w14:textFill>
        </w:rPr>
        <w:t>制定</w:t>
      </w:r>
    </w:p>
    <w:p w14:paraId="761A69AF">
      <w:pPr>
        <w:spacing w:line="360" w:lineRule="auto"/>
        <w:jc w:val="center"/>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 xml:space="preserve">   国家工商行政管理总局</w:t>
      </w:r>
    </w:p>
    <w:p w14:paraId="46E9C30C">
      <w:pPr>
        <w:jc w:val="both"/>
        <w:rPr>
          <w:rFonts w:hint="eastAsia" w:ascii="仿宋" w:hAnsi="仿宋" w:eastAsia="仿宋" w:cs="仿宋"/>
          <w:color w:val="000000" w:themeColor="text1"/>
          <w14:textFill>
            <w14:solidFill>
              <w14:schemeClr w14:val="tx1"/>
            </w14:solidFill>
          </w14:textFill>
        </w:rPr>
      </w:pPr>
    </w:p>
    <w:p w14:paraId="6E555E79">
      <w:pPr>
        <w:tabs>
          <w:tab w:val="left" w:pos="3120"/>
        </w:tabs>
        <w:spacing w:line="360" w:lineRule="auto"/>
        <w:jc w:val="center"/>
        <w:outlineLvl w:val="1"/>
        <w:rPr>
          <w:rFonts w:hint="eastAsia" w:ascii="仿宋" w:hAnsi="仿宋" w:eastAsia="仿宋" w:cs="仿宋"/>
          <w:b/>
          <w:bCs/>
          <w:color w:val="000000" w:themeColor="text1"/>
          <w:sz w:val="44"/>
          <w:szCs w:val="44"/>
          <w14:textFill>
            <w14:solidFill>
              <w14:schemeClr w14:val="tx1"/>
            </w14:solidFill>
          </w14:textFill>
        </w:rPr>
      </w:pPr>
      <w:bookmarkStart w:id="358" w:name="_Toc22598"/>
      <w:r>
        <w:rPr>
          <w:rFonts w:hint="eastAsia" w:ascii="仿宋" w:hAnsi="仿宋" w:eastAsia="仿宋" w:cs="仿宋"/>
          <w:color w:val="000000" w:themeColor="text1"/>
          <w:sz w:val="36"/>
          <w:szCs w:val="36"/>
          <w:lang w:val="zh-CN"/>
          <w14:textFill>
            <w14:solidFill>
              <w14:schemeClr w14:val="tx1"/>
            </w14:solidFill>
          </w14:textFill>
        </w:rPr>
        <w:br w:type="column"/>
      </w:r>
      <w:r>
        <w:rPr>
          <w:rFonts w:hint="eastAsia" w:ascii="仿宋" w:hAnsi="仿宋" w:eastAsia="仿宋" w:cs="仿宋"/>
          <w:b/>
          <w:bCs/>
          <w:color w:val="000000" w:themeColor="text1"/>
          <w:sz w:val="44"/>
          <w:szCs w:val="44"/>
          <w14:textFill>
            <w14:solidFill>
              <w14:schemeClr w14:val="tx1"/>
            </w14:solidFill>
          </w14:textFill>
        </w:rPr>
        <w:t>第一部分  协议书</w:t>
      </w:r>
    </w:p>
    <w:p w14:paraId="5C164A8E">
      <w:pPr>
        <w:adjustRightInd w:val="0"/>
        <w:snapToGrid w:val="0"/>
        <w:spacing w:line="360" w:lineRule="auto"/>
        <w:ind w:firstLine="326" w:firstLineChars="250"/>
        <w:rPr>
          <w:rFonts w:hint="eastAsia" w:ascii="仿宋" w:hAnsi="仿宋" w:eastAsia="仿宋" w:cs="仿宋"/>
          <w:b/>
          <w:color w:val="000000" w:themeColor="text1"/>
          <w:sz w:val="13"/>
          <w:szCs w:val="13"/>
          <w14:textFill>
            <w14:solidFill>
              <w14:schemeClr w14:val="tx1"/>
            </w14:solidFill>
          </w14:textFill>
        </w:rPr>
      </w:pPr>
    </w:p>
    <w:p w14:paraId="5E371A80">
      <w:pPr>
        <w:adjustRightInd w:val="0"/>
        <w:snapToGrid w:val="0"/>
        <w:spacing w:line="360" w:lineRule="auto"/>
        <w:ind w:firstLine="482" w:firstLineChars="200"/>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委托人（全称）：</w:t>
      </w:r>
      <w:r>
        <w:rPr>
          <w:rFonts w:hint="eastAsia" w:ascii="仿宋" w:hAnsi="仿宋" w:eastAsia="仿宋" w:cs="仿宋"/>
          <w:b/>
          <w:color w:val="000000" w:themeColor="text1"/>
          <w:sz w:val="24"/>
          <w:u w:val="single"/>
          <w14:textFill>
            <w14:solidFill>
              <w14:schemeClr w14:val="tx1"/>
            </w14:solidFill>
          </w14:textFill>
        </w:rPr>
        <w:t xml:space="preserve">                                 </w:t>
      </w:r>
    </w:p>
    <w:p w14:paraId="03009671">
      <w:pPr>
        <w:adjustRightInd w:val="0"/>
        <w:snapToGrid w:val="0"/>
        <w:spacing w:line="360" w:lineRule="auto"/>
        <w:ind w:firstLine="482"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监理人（全称）：</w:t>
      </w:r>
      <w:r>
        <w:rPr>
          <w:rFonts w:hint="eastAsia" w:ascii="仿宋" w:hAnsi="仿宋" w:eastAsia="仿宋" w:cs="仿宋"/>
          <w:b/>
          <w:color w:val="000000" w:themeColor="text1"/>
          <w:sz w:val="24"/>
          <w:u w:val="single"/>
          <w14:textFill>
            <w14:solidFill>
              <w14:schemeClr w14:val="tx1"/>
            </w14:solidFill>
          </w14:textFill>
        </w:rPr>
        <w:t xml:space="preserve">                                 </w:t>
      </w:r>
    </w:p>
    <w:p w14:paraId="48981CC8">
      <w:pPr>
        <w:adjustRightInd w:val="0"/>
        <w:snapToGrid w:val="0"/>
        <w:spacing w:line="360" w:lineRule="auto"/>
        <w:ind w:firstLine="480" w:firstLineChars="200"/>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根据《中华人民共和国</w:t>
      </w:r>
      <w:r>
        <w:rPr>
          <w:rFonts w:hint="eastAsia" w:ascii="仿宋" w:hAnsi="仿宋" w:eastAsia="仿宋" w:cs="仿宋"/>
          <w:color w:val="000000" w:themeColor="text1"/>
          <w:sz w:val="24"/>
          <w:lang w:eastAsia="zh-CN"/>
          <w14:textFill>
            <w14:solidFill>
              <w14:schemeClr w14:val="tx1"/>
            </w14:solidFill>
          </w14:textFill>
        </w:rPr>
        <w:t>民法典</w:t>
      </w:r>
      <w:r>
        <w:rPr>
          <w:rFonts w:hint="eastAsia" w:ascii="仿宋" w:hAnsi="仿宋" w:eastAsia="仿宋" w:cs="仿宋"/>
          <w:color w:val="000000" w:themeColor="text1"/>
          <w:sz w:val="24"/>
          <w14:textFill>
            <w14:solidFill>
              <w14:schemeClr w14:val="tx1"/>
            </w14:solidFill>
          </w14:textFill>
        </w:rPr>
        <w:t>》、《中华人民共和国建筑法》及其他有关法律、法规，遵循平等、自愿、公平和诚信的原则，双方就下述工程委托监理与相关服务事项协商一致，订立本合同。</w:t>
      </w:r>
    </w:p>
    <w:p w14:paraId="0E94F330">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一、工程概况</w:t>
      </w:r>
    </w:p>
    <w:p w14:paraId="03422A58">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1.工程名称：</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1C5F2466">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2.工程地点：</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090419E7">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3.工程规模：</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7D6269E9">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二、词语限定</w:t>
      </w:r>
    </w:p>
    <w:p w14:paraId="43861C49">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协议书中相关词语的含义与通用条件中的定义与解释相同。</w:t>
      </w:r>
    </w:p>
    <w:p w14:paraId="0AF7F41D">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三、组成本合同的文件</w:t>
      </w:r>
    </w:p>
    <w:p w14:paraId="655CBCF9">
      <w:pPr>
        <w:adjustRightInd w:val="0"/>
        <w:snapToGrid w:val="0"/>
        <w:spacing w:line="360" w:lineRule="auto"/>
        <w:ind w:firstLine="475" w:firstLineChars="198"/>
        <w:outlineLvl w:val="9"/>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1.协议书；</w:t>
      </w:r>
    </w:p>
    <w:p w14:paraId="31CA7E64">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2.中标通知书（适用于招标工程）或委托书（适用于非招标工程）；</w:t>
      </w:r>
    </w:p>
    <w:p w14:paraId="405F8550">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3.投标文件（适用于招标工程）或监理与相关服务建议书（适用于非招标工程）；</w:t>
      </w:r>
    </w:p>
    <w:p w14:paraId="2B8A36BD">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4.专用条件；</w:t>
      </w:r>
    </w:p>
    <w:p w14:paraId="7062C0FB">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5.通用条件；</w:t>
      </w:r>
    </w:p>
    <w:p w14:paraId="17925299">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6.附录，即：</w:t>
      </w:r>
    </w:p>
    <w:p w14:paraId="63778355">
      <w:pPr>
        <w:adjustRightInd w:val="0"/>
        <w:snapToGrid w:val="0"/>
        <w:spacing w:line="360" w:lineRule="auto"/>
        <w:ind w:firstLine="475" w:firstLineChars="198"/>
        <w:outlineLvl w:val="2"/>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附录A  相关服务的范围和内容</w:t>
      </w:r>
    </w:p>
    <w:p w14:paraId="7AF64637">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附录B  委托人派遣的人员和提供的</w:t>
      </w:r>
      <w:r>
        <w:rPr>
          <w:rFonts w:hint="eastAsia" w:ascii="仿宋" w:hAnsi="仿宋" w:eastAsia="仿宋" w:cs="仿宋"/>
          <w:bCs/>
          <w:color w:val="000000" w:themeColor="text1"/>
          <w:sz w:val="24"/>
          <w14:textFill>
            <w14:solidFill>
              <w14:schemeClr w14:val="tx1"/>
            </w14:solidFill>
          </w14:textFill>
        </w:rPr>
        <w:t>房屋、资料</w:t>
      </w:r>
      <w:r>
        <w:rPr>
          <w:rFonts w:hint="eastAsia" w:ascii="仿宋" w:hAnsi="仿宋" w:eastAsia="仿宋" w:cs="仿宋"/>
          <w:color w:val="000000" w:themeColor="text1"/>
          <w:sz w:val="24"/>
          <w14:textFill>
            <w14:solidFill>
              <w14:schemeClr w14:val="tx1"/>
            </w14:solidFill>
          </w14:textFill>
        </w:rPr>
        <w:t>、设备</w:t>
      </w:r>
    </w:p>
    <w:p w14:paraId="54F0B33A">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本合同签订后，双方依法签订的补充协议也是本合同文件的组成部分。</w:t>
      </w:r>
    </w:p>
    <w:p w14:paraId="31188CAA">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四、总监理工程师</w:t>
      </w:r>
    </w:p>
    <w:p w14:paraId="15D9325F">
      <w:pPr>
        <w:adjustRightInd w:val="0"/>
        <w:snapToGrid w:val="0"/>
        <w:spacing w:line="360" w:lineRule="auto"/>
        <w:ind w:firstLine="475" w:firstLineChars="198"/>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总监理工程师姓名：</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，身份证号码：</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，注册号：</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w:t>
      </w:r>
    </w:p>
    <w:p w14:paraId="486E2D78">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五、签约酬金</w:t>
      </w:r>
    </w:p>
    <w:p w14:paraId="45D32EF5">
      <w:pPr>
        <w:adjustRightInd w:val="0"/>
        <w:snapToGrid w:val="0"/>
        <w:spacing w:line="360" w:lineRule="auto"/>
        <w:ind w:firstLine="475" w:firstLineChars="198"/>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签约酬金：固定综合费率：</w:t>
      </w:r>
      <w:r>
        <w:rPr>
          <w:rFonts w:hint="eastAsia" w:ascii="仿宋" w:hAnsi="仿宋" w:eastAsia="仿宋" w:cs="仿宋"/>
          <w:color w:val="000000" w:themeColor="text1"/>
          <w:sz w:val="24"/>
          <w:u w:val="single"/>
          <w14:textFill>
            <w14:solidFill>
              <w14:schemeClr w14:val="tx1"/>
            </w14:solidFill>
          </w14:textFill>
        </w:rPr>
        <w:t xml:space="preserve">                   </w:t>
      </w:r>
    </w:p>
    <w:p w14:paraId="51BD4917">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总价：（大写）：</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w:t>
      </w:r>
    </w:p>
    <w:p w14:paraId="65A9DA42">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六、期限</w:t>
      </w:r>
    </w:p>
    <w:p w14:paraId="40270D30">
      <w:pPr>
        <w:adjustRightInd w:val="0"/>
        <w:snapToGrid w:val="0"/>
        <w:spacing w:line="360" w:lineRule="auto"/>
        <w:ind w:firstLine="600" w:firstLineChars="250"/>
        <w:jc w:val="left"/>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1. </w:t>
      </w:r>
      <w:r>
        <w:rPr>
          <w:rFonts w:hint="eastAsia" w:ascii="仿宋" w:hAnsi="仿宋" w:eastAsia="仿宋" w:cs="仿宋"/>
          <w:color w:val="000000" w:themeColor="text1"/>
          <w:sz w:val="24"/>
          <w14:textFill>
            <w14:solidFill>
              <w14:schemeClr w14:val="tx1"/>
            </w14:solidFill>
          </w14:textFill>
        </w:rPr>
        <w:t>监理期限：</w:t>
      </w:r>
    </w:p>
    <w:p w14:paraId="3531C3E7">
      <w:pPr>
        <w:adjustRightInd w:val="0"/>
        <w:snapToGrid w:val="0"/>
        <w:spacing w:line="360" w:lineRule="auto"/>
        <w:ind w:firstLine="600" w:firstLineChars="25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自合同签订之日起至本工程最终竣工验收合格，缺陷责任期满，档案移交完为止。</w:t>
      </w:r>
    </w:p>
    <w:p w14:paraId="51354A1C">
      <w:pPr>
        <w:spacing w:line="360" w:lineRule="auto"/>
        <w:ind w:firstLine="477" w:firstLineChars="198"/>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七、双方承诺</w:t>
      </w:r>
    </w:p>
    <w:p w14:paraId="0469022C">
      <w:pPr>
        <w:spacing w:line="360" w:lineRule="auto"/>
        <w:ind w:firstLine="475" w:firstLineChars="198"/>
        <w:outlineLvl w:val="3"/>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监理人向委托人承诺，按照本合同约定</w:t>
      </w:r>
      <w:r>
        <w:rPr>
          <w:rFonts w:hint="eastAsia" w:ascii="仿宋" w:hAnsi="仿宋" w:eastAsia="仿宋" w:cs="仿宋"/>
          <w:color w:val="000000" w:themeColor="text1"/>
          <w:kern w:val="0"/>
          <w:sz w:val="24"/>
          <w14:textFill>
            <w14:solidFill>
              <w14:schemeClr w14:val="tx1"/>
            </w14:solidFill>
          </w14:textFill>
        </w:rPr>
        <w:t>提供</w:t>
      </w:r>
      <w:r>
        <w:rPr>
          <w:rFonts w:hint="eastAsia" w:ascii="仿宋" w:hAnsi="仿宋" w:eastAsia="仿宋" w:cs="仿宋"/>
          <w:color w:val="000000" w:themeColor="text1"/>
          <w:sz w:val="24"/>
          <w14:textFill>
            <w14:solidFill>
              <w14:schemeClr w14:val="tx1"/>
            </w14:solidFill>
          </w14:textFill>
        </w:rPr>
        <w:t>监理与相关服务。</w:t>
      </w:r>
    </w:p>
    <w:p w14:paraId="4B84F7F9">
      <w:pPr>
        <w:spacing w:line="360" w:lineRule="auto"/>
        <w:ind w:firstLine="475" w:firstLineChars="198"/>
        <w:outlineLvl w:val="9"/>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委托人向监理人承诺，按照本合同约定派遣相应的人员，提供</w:t>
      </w:r>
      <w:r>
        <w:rPr>
          <w:rFonts w:hint="eastAsia" w:ascii="仿宋" w:hAnsi="仿宋" w:eastAsia="仿宋" w:cs="仿宋"/>
          <w:bCs/>
          <w:color w:val="000000" w:themeColor="text1"/>
          <w:sz w:val="24"/>
          <w14:textFill>
            <w14:solidFill>
              <w14:schemeClr w14:val="tx1"/>
            </w14:solidFill>
          </w14:textFill>
        </w:rPr>
        <w:t>房屋、资料</w:t>
      </w:r>
      <w:r>
        <w:rPr>
          <w:rFonts w:hint="eastAsia" w:ascii="仿宋" w:hAnsi="仿宋" w:eastAsia="仿宋" w:cs="仿宋"/>
          <w:color w:val="000000" w:themeColor="text1"/>
          <w:sz w:val="24"/>
          <w14:textFill>
            <w14:solidFill>
              <w14:schemeClr w14:val="tx1"/>
            </w14:solidFill>
          </w14:textFill>
        </w:rPr>
        <w:t>、设备，并按本合同约定支付酬金。</w:t>
      </w:r>
    </w:p>
    <w:p w14:paraId="4729E8D1">
      <w:pPr>
        <w:spacing w:line="360" w:lineRule="auto"/>
        <w:ind w:firstLine="477" w:firstLineChars="198"/>
        <w:outlineLvl w:val="9"/>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八、合同订立</w:t>
      </w:r>
    </w:p>
    <w:p w14:paraId="2DD58034">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 订立时间：</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年</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月</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日。</w:t>
      </w:r>
    </w:p>
    <w:p w14:paraId="72A42267">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 订立地点：</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1DC8CF9E">
      <w:pPr>
        <w:adjustRightInd w:val="0"/>
        <w:snapToGrid w:val="0"/>
        <w:spacing w:line="360" w:lineRule="auto"/>
        <w:ind w:left="632" w:leftChars="301"/>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 本合同一式</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份，具有同等法律效力，双方各执</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份。</w:t>
      </w:r>
    </w:p>
    <w:p w14:paraId="3BD1A02A">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p>
    <w:p w14:paraId="73FA34D6">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w:t>
      </w:r>
      <w:r>
        <w:rPr>
          <w:rFonts w:hint="eastAsia" w:ascii="仿宋" w:hAnsi="仿宋" w:eastAsia="仿宋" w:cs="仿宋"/>
          <w:color w:val="000000" w:themeColor="text1"/>
          <w:sz w:val="24"/>
          <w:u w:val="single"/>
          <w14:textFill>
            <w14:solidFill>
              <w14:schemeClr w14:val="tx1"/>
            </w14:solidFill>
          </w14:textFill>
        </w:rPr>
        <w:t xml:space="preserve">   （盖章）     </w:t>
      </w:r>
      <w:r>
        <w:rPr>
          <w:rFonts w:hint="eastAsia" w:ascii="仿宋" w:hAnsi="仿宋" w:eastAsia="仿宋" w:cs="仿宋"/>
          <w:color w:val="000000" w:themeColor="text1"/>
          <w:sz w:val="24"/>
          <w14:textFill>
            <w14:solidFill>
              <w14:schemeClr w14:val="tx1"/>
            </w14:solidFill>
          </w14:textFill>
        </w:rPr>
        <w:t xml:space="preserve">         监理人：</w:t>
      </w:r>
      <w:r>
        <w:rPr>
          <w:rFonts w:hint="eastAsia" w:ascii="仿宋" w:hAnsi="仿宋" w:eastAsia="仿宋" w:cs="仿宋"/>
          <w:color w:val="000000" w:themeColor="text1"/>
          <w:sz w:val="24"/>
          <w:u w:val="single"/>
          <w14:textFill>
            <w14:solidFill>
              <w14:schemeClr w14:val="tx1"/>
            </w14:solidFill>
          </w14:textFill>
        </w:rPr>
        <w:t xml:space="preserve">   （盖章）    </w:t>
      </w:r>
    </w:p>
    <w:p w14:paraId="60C9DDD1">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住所：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住所： </w:t>
      </w:r>
      <w:r>
        <w:rPr>
          <w:rFonts w:hint="eastAsia" w:ascii="仿宋" w:hAnsi="仿宋" w:eastAsia="仿宋" w:cs="仿宋"/>
          <w:color w:val="000000" w:themeColor="text1"/>
          <w:sz w:val="24"/>
          <w:u w:val="single"/>
          <w14:textFill>
            <w14:solidFill>
              <w14:schemeClr w14:val="tx1"/>
            </w14:solidFill>
          </w14:textFill>
        </w:rPr>
        <w:t xml:space="preserve">                      </w:t>
      </w:r>
    </w:p>
    <w:p w14:paraId="3B4F804E">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邮政编码：</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邮政编码：</w:t>
      </w:r>
      <w:r>
        <w:rPr>
          <w:rFonts w:hint="eastAsia" w:ascii="仿宋" w:hAnsi="仿宋" w:eastAsia="仿宋" w:cs="仿宋"/>
          <w:color w:val="000000" w:themeColor="text1"/>
          <w:sz w:val="24"/>
          <w:u w:val="single"/>
          <w14:textFill>
            <w14:solidFill>
              <w14:schemeClr w14:val="tx1"/>
            </w14:solidFill>
          </w14:textFill>
        </w:rPr>
        <w:t xml:space="preserve">                  </w:t>
      </w:r>
    </w:p>
    <w:p w14:paraId="73FA00F5">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法定代表人或其授权               法定代表人或其授权</w:t>
      </w:r>
    </w:p>
    <w:p w14:paraId="5903A1ED">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的代理人：</w:t>
      </w:r>
      <w:r>
        <w:rPr>
          <w:rFonts w:hint="eastAsia" w:ascii="仿宋" w:hAnsi="仿宋" w:eastAsia="仿宋" w:cs="仿宋"/>
          <w:color w:val="000000" w:themeColor="text1"/>
          <w:sz w:val="24"/>
          <w:u w:val="single"/>
          <w14:textFill>
            <w14:solidFill>
              <w14:schemeClr w14:val="tx1"/>
            </w14:solidFill>
          </w14:textFill>
        </w:rPr>
        <w:t xml:space="preserve">（签字）      </w:t>
      </w:r>
      <w:r>
        <w:rPr>
          <w:rFonts w:hint="eastAsia" w:ascii="仿宋" w:hAnsi="仿宋" w:eastAsia="仿宋" w:cs="仿宋"/>
          <w:color w:val="000000" w:themeColor="text1"/>
          <w:sz w:val="24"/>
          <w14:textFill>
            <w14:solidFill>
              <w14:schemeClr w14:val="tx1"/>
            </w14:solidFill>
          </w14:textFill>
        </w:rPr>
        <w:t xml:space="preserve">          的代理人：</w:t>
      </w:r>
      <w:r>
        <w:rPr>
          <w:rFonts w:hint="eastAsia" w:ascii="仿宋" w:hAnsi="仿宋" w:eastAsia="仿宋" w:cs="仿宋"/>
          <w:color w:val="000000" w:themeColor="text1"/>
          <w:sz w:val="24"/>
          <w:u w:val="single"/>
          <w14:textFill>
            <w14:solidFill>
              <w14:schemeClr w14:val="tx1"/>
            </w14:solidFill>
          </w14:textFill>
        </w:rPr>
        <w:t xml:space="preserve">（签字）          </w:t>
      </w:r>
    </w:p>
    <w:p w14:paraId="7B67E2BA">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开户银行：</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开户银行：</w:t>
      </w:r>
      <w:r>
        <w:rPr>
          <w:rFonts w:hint="eastAsia" w:ascii="仿宋" w:hAnsi="仿宋" w:eastAsia="仿宋" w:cs="仿宋"/>
          <w:color w:val="000000" w:themeColor="text1"/>
          <w:sz w:val="24"/>
          <w:u w:val="single"/>
          <w14:textFill>
            <w14:solidFill>
              <w14:schemeClr w14:val="tx1"/>
            </w14:solidFill>
          </w14:textFill>
        </w:rPr>
        <w:t xml:space="preserve">                  </w:t>
      </w:r>
    </w:p>
    <w:p w14:paraId="5B71ED68">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账号：</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账号：</w:t>
      </w:r>
      <w:r>
        <w:rPr>
          <w:rFonts w:hint="eastAsia" w:ascii="仿宋" w:hAnsi="仿宋" w:eastAsia="仿宋" w:cs="仿宋"/>
          <w:color w:val="000000" w:themeColor="text1"/>
          <w:sz w:val="24"/>
          <w:u w:val="single"/>
          <w14:textFill>
            <w14:solidFill>
              <w14:schemeClr w14:val="tx1"/>
            </w14:solidFill>
          </w14:textFill>
        </w:rPr>
        <w:t xml:space="preserve">                       </w:t>
      </w:r>
    </w:p>
    <w:p w14:paraId="3CADA817">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电话：</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电话：</w:t>
      </w:r>
      <w:r>
        <w:rPr>
          <w:rFonts w:hint="eastAsia" w:ascii="仿宋" w:hAnsi="仿宋" w:eastAsia="仿宋" w:cs="仿宋"/>
          <w:color w:val="000000" w:themeColor="text1"/>
          <w:sz w:val="24"/>
          <w:u w:val="single"/>
          <w14:textFill>
            <w14:solidFill>
              <w14:schemeClr w14:val="tx1"/>
            </w14:solidFill>
          </w14:textFill>
        </w:rPr>
        <w:t xml:space="preserve">                       </w:t>
      </w:r>
    </w:p>
    <w:p w14:paraId="6D16571D">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传真：</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传真：</w:t>
      </w:r>
      <w:r>
        <w:rPr>
          <w:rFonts w:hint="eastAsia" w:ascii="仿宋" w:hAnsi="仿宋" w:eastAsia="仿宋" w:cs="仿宋"/>
          <w:color w:val="000000" w:themeColor="text1"/>
          <w:sz w:val="24"/>
          <w:u w:val="single"/>
          <w14:textFill>
            <w14:solidFill>
              <w14:schemeClr w14:val="tx1"/>
            </w14:solidFill>
          </w14:textFill>
        </w:rPr>
        <w:t xml:space="preserve">                       </w:t>
      </w:r>
    </w:p>
    <w:p w14:paraId="0D18EECC">
      <w:pPr>
        <w:adjustRightInd w:val="0"/>
        <w:snapToGrid w:val="0"/>
        <w:spacing w:line="360" w:lineRule="auto"/>
        <w:ind w:firstLine="475" w:firstLineChars="198"/>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电子邮箱：</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电子邮箱：</w:t>
      </w:r>
      <w:r>
        <w:rPr>
          <w:rFonts w:hint="eastAsia" w:ascii="仿宋" w:hAnsi="仿宋" w:eastAsia="仿宋" w:cs="仿宋"/>
          <w:color w:val="000000" w:themeColor="text1"/>
          <w:sz w:val="24"/>
          <w:u w:val="single"/>
          <w14:textFill>
            <w14:solidFill>
              <w14:schemeClr w14:val="tx1"/>
            </w14:solidFill>
          </w14:textFill>
        </w:rPr>
        <w:t xml:space="preserve">                  </w:t>
      </w:r>
    </w:p>
    <w:p w14:paraId="108DB3F2">
      <w:pPr>
        <w:pageBreakBefore/>
        <w:spacing w:line="360" w:lineRule="auto"/>
        <w:jc w:val="center"/>
        <w:outlineLvl w:val="1"/>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44"/>
          <w:szCs w:val="44"/>
          <w14:textFill>
            <w14:solidFill>
              <w14:schemeClr w14:val="tx1"/>
            </w14:solidFill>
          </w14:textFill>
        </w:rPr>
        <w:t>第二部分  通用条件</w:t>
      </w:r>
    </w:p>
    <w:p w14:paraId="273D085B">
      <w:pPr>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1. 定义与解释</w:t>
      </w:r>
    </w:p>
    <w:p w14:paraId="6B7662CC">
      <w:pPr>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1.1 </w:t>
      </w:r>
      <w:r>
        <w:rPr>
          <w:rFonts w:hint="eastAsia" w:ascii="仿宋" w:hAnsi="仿宋" w:eastAsia="仿宋" w:cs="仿宋"/>
          <w:bCs/>
          <w:color w:val="000000" w:themeColor="text1"/>
          <w:sz w:val="24"/>
          <w14:textFill>
            <w14:solidFill>
              <w14:schemeClr w14:val="tx1"/>
            </w14:solidFill>
          </w14:textFill>
        </w:rPr>
        <w:t>定义</w:t>
      </w:r>
    </w:p>
    <w:p w14:paraId="37B920D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除根据上下文另有其意义外，组成本合同的全部文件中的下列名词和用语应具有本款所赋予的含义：</w:t>
      </w:r>
    </w:p>
    <w:p w14:paraId="542DFEAC">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 “工程”是指按照本合同约定实施监理与相关服务的建设工程。</w:t>
      </w:r>
    </w:p>
    <w:p w14:paraId="038FDE2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1.1.2 “委托人”是指本合同中委托监理与相关服务的一方，及其合法的继承人或受让人。</w:t>
      </w:r>
    </w:p>
    <w:p w14:paraId="414A7DEC">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1.1.3 “监理人”是指本合同中提供监理与相关服务的一方，及其合法的继承人。</w:t>
      </w:r>
    </w:p>
    <w:p w14:paraId="61CD94F5">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1.1.4 “承包人”是指在工程范围内与委托人签订勘察、设计、施工等有关合同的当事人，及其合法的继承人。</w:t>
      </w:r>
    </w:p>
    <w:p w14:paraId="26D86D1F">
      <w:pPr>
        <w:pStyle w:val="19"/>
        <w:spacing w:line="360" w:lineRule="auto"/>
        <w:ind w:firstLine="57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57DF0A3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1.1.6 “相关服务”是指监理人受委托人的委托 ，按照本合同约定，在勘察、设计、保修等阶段提供的服务活动。</w:t>
      </w:r>
    </w:p>
    <w:p w14:paraId="2298A70B">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1.1.7 “正常工作”指本合同订立时通用条件和专用条件中约定的监理人的工作。</w:t>
      </w:r>
    </w:p>
    <w:p w14:paraId="554D2584">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1.1.8 “附加工作”是指本合同约定的正常工作以外监理人的工作。</w:t>
      </w:r>
    </w:p>
    <w:p w14:paraId="0BA50E9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1.1.9 “项目监理机构”是指监理人派驻工程负责履行本合同的组织机构。</w:t>
      </w:r>
    </w:p>
    <w:p w14:paraId="562DCEA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1.1.10 “总监理工程师”是指由监理人的法定代表人书面授权，全面负责履行本合同、主持项目监理机构工作的注册监理工程师。</w:t>
      </w:r>
    </w:p>
    <w:p w14:paraId="365E0362">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1.1.11 “酬金”是指监理人履行本合同义务，委托人按照本合同约定给付监理人的金额。</w:t>
      </w:r>
    </w:p>
    <w:p w14:paraId="4FB4A636">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1.1.12 “正常工作</w:t>
      </w:r>
      <w:r>
        <w:rPr>
          <w:rFonts w:hint="eastAsia" w:ascii="仿宋" w:hAnsi="仿宋" w:eastAsia="仿宋" w:cs="仿宋"/>
          <w:color w:val="000000" w:themeColor="text1"/>
          <w:kern w:val="0"/>
          <w:sz w:val="24"/>
          <w14:textFill>
            <w14:solidFill>
              <w14:schemeClr w14:val="tx1"/>
            </w14:solidFill>
          </w14:textFill>
        </w:rPr>
        <w:t>酬金”</w:t>
      </w:r>
      <w:r>
        <w:rPr>
          <w:rFonts w:hint="eastAsia" w:ascii="仿宋" w:hAnsi="仿宋" w:eastAsia="仿宋" w:cs="仿宋"/>
          <w:color w:val="000000" w:themeColor="text1"/>
          <w:sz w:val="24"/>
          <w14:textFill>
            <w14:solidFill>
              <w14:schemeClr w14:val="tx1"/>
            </w14:solidFill>
          </w14:textFill>
        </w:rPr>
        <w:t>是指监理人完成正常工作，委托人应给付监理人并在协议书中载明的签约</w:t>
      </w:r>
      <w:r>
        <w:rPr>
          <w:rFonts w:hint="eastAsia" w:ascii="仿宋" w:hAnsi="仿宋" w:eastAsia="仿宋" w:cs="仿宋"/>
          <w:color w:val="000000" w:themeColor="text1"/>
          <w:kern w:val="0"/>
          <w:sz w:val="24"/>
          <w14:textFill>
            <w14:solidFill>
              <w14:schemeClr w14:val="tx1"/>
            </w14:solidFill>
          </w14:textFill>
        </w:rPr>
        <w:t>酬金额</w:t>
      </w:r>
      <w:r>
        <w:rPr>
          <w:rFonts w:hint="eastAsia" w:ascii="仿宋" w:hAnsi="仿宋" w:eastAsia="仿宋" w:cs="仿宋"/>
          <w:color w:val="000000" w:themeColor="text1"/>
          <w:sz w:val="24"/>
          <w14:textFill>
            <w14:solidFill>
              <w14:schemeClr w14:val="tx1"/>
            </w14:solidFill>
          </w14:textFill>
        </w:rPr>
        <w:t>。</w:t>
      </w:r>
    </w:p>
    <w:p w14:paraId="605936C3">
      <w:pPr>
        <w:adjustRightInd w:val="0"/>
        <w:snapToGrid w:val="0"/>
        <w:spacing w:line="360" w:lineRule="auto"/>
        <w:ind w:firstLine="475" w:firstLineChars="198"/>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1.1.13 “附加工作酬金”是指监理人完成附加工作，委托人应给付监理人的金额。</w:t>
      </w:r>
    </w:p>
    <w:p w14:paraId="5996CC2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1.1.14 “一方”是指委托人或监理人；“双方”是指委托人和监理人；“第三方”是指除委托人和监理人以外的有关方。</w:t>
      </w:r>
    </w:p>
    <w:p w14:paraId="0923C56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1.1.15 “书面形式”是指合同书、信件和数据电文（包括电报、电传、传真、电子数据交换和电子邮件）等可以有形地表现所载内容的形式。</w:t>
      </w:r>
    </w:p>
    <w:p w14:paraId="3C59895D">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1.1.16 “天”是指第一天零时至第二天零时的时间。</w:t>
      </w:r>
    </w:p>
    <w:p w14:paraId="51F7996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1.1.17“月”是指按公历从一个月中任何一天开始的一个公历月时间。</w:t>
      </w:r>
    </w:p>
    <w:p w14:paraId="22C54F2D">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067B38C2">
      <w:pPr>
        <w:adjustRightInd w:val="0"/>
        <w:snapToGrid w:val="0"/>
        <w:spacing w:line="360" w:lineRule="auto"/>
        <w:ind w:left="210" w:leftChars="100"/>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1.2 </w:t>
      </w:r>
      <w:r>
        <w:rPr>
          <w:rFonts w:hint="eastAsia" w:ascii="仿宋" w:hAnsi="仿宋" w:eastAsia="仿宋" w:cs="仿宋"/>
          <w:color w:val="000000" w:themeColor="text1"/>
          <w:sz w:val="24"/>
          <w14:textFill>
            <w14:solidFill>
              <w14:schemeClr w14:val="tx1"/>
            </w14:solidFill>
          </w14:textFill>
        </w:rPr>
        <w:t>解释</w:t>
      </w:r>
    </w:p>
    <w:p w14:paraId="403D21EC">
      <w:pPr>
        <w:tabs>
          <w:tab w:val="left" w:pos="6140"/>
        </w:tabs>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1.2.1本合同使用中文书写、解释和说明。如专用条件约定使用两种及以上语言文字时，应以中文为准。</w:t>
      </w:r>
    </w:p>
    <w:p w14:paraId="044B4476">
      <w:pPr>
        <w:tabs>
          <w:tab w:val="left" w:pos="6140"/>
        </w:tabs>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1.2.2 组成本合同的下列文件彼此应能相互解释、互为说明。除专用条件另有约定外，本合同文件的解释顺序如下：</w:t>
      </w:r>
    </w:p>
    <w:p w14:paraId="568E21A8">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（1）协议书；</w:t>
      </w:r>
    </w:p>
    <w:p w14:paraId="25AE0C1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（2）中标通知书（适用于招标工程）或委托书（适用于非招标工程）；</w:t>
      </w:r>
    </w:p>
    <w:p w14:paraId="21138576">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（3）专用条件及附录A、附录B；</w:t>
      </w:r>
    </w:p>
    <w:p w14:paraId="04F3B9F1">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（4）通用条件；</w:t>
      </w:r>
    </w:p>
    <w:p w14:paraId="1530FD43">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（5）投标文件（适用于招标工程）或监理与相关服务建议书（适用于非招标工程）。</w:t>
      </w:r>
    </w:p>
    <w:p w14:paraId="1370BB59">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双方签订的补充协议与其他文件发生矛盾或歧义时，属于同一类内容的文件，应以最新签署的为准。</w:t>
      </w:r>
    </w:p>
    <w:p w14:paraId="66D00E29">
      <w:pPr>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 监理人的义务</w:t>
      </w:r>
    </w:p>
    <w:p w14:paraId="56BC2A03">
      <w:pPr>
        <w:adjustRightInd w:val="0"/>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 监理的范围和工作内容</w:t>
      </w:r>
    </w:p>
    <w:p w14:paraId="0BA49D3E">
      <w:pPr>
        <w:adjustRightInd w:val="0"/>
        <w:snapToGrid w:val="0"/>
        <w:spacing w:line="360" w:lineRule="auto"/>
        <w:ind w:left="420" w:left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2.1.1 监理范围在专用条件中约定。</w:t>
      </w:r>
    </w:p>
    <w:p w14:paraId="4531196E">
      <w:pPr>
        <w:adjustRightInd w:val="0"/>
        <w:snapToGrid w:val="0"/>
        <w:spacing w:line="360" w:lineRule="auto"/>
        <w:ind w:left="420" w:left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2.1.2 除专用条件另有约定外，监理工作内容包括：</w:t>
      </w:r>
    </w:p>
    <w:p w14:paraId="07A97CD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（1）收到工程设计文件后编制监理规划，并在第一次工地会议7天前报委托人。根据有关规定和监理工作需要，编制监理实施细则；</w:t>
      </w:r>
    </w:p>
    <w:p w14:paraId="0C27CCFB">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（2）熟悉工程设计文件，并参加由委托人主持的图纸会审和设计交底会议；</w:t>
      </w:r>
    </w:p>
    <w:p w14:paraId="6DEF707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（3）参加由委托人主持的第一次工地会议；主持监理例会并根据工程需要主持或参加专题会议；</w:t>
      </w:r>
    </w:p>
    <w:p w14:paraId="15BAFA79">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（4）审查施工承包人提交的施工组织设计，重点审查其中的质量安全技术措施、专项施工方案与工程建设强制性标准的符合性；</w:t>
      </w:r>
    </w:p>
    <w:p w14:paraId="4127BB10">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（5）检查施工承包人工程质量、安全生产管理制度及组织机构和人员资格； </w:t>
      </w:r>
    </w:p>
    <w:p w14:paraId="2C403D1D">
      <w:pPr>
        <w:adjustRightInd w:val="0"/>
        <w:snapToGrid w:val="0"/>
        <w:spacing w:line="360" w:lineRule="auto"/>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（6）检查施工承包人专职安全生产管理人员的配备情况；</w:t>
      </w:r>
    </w:p>
    <w:p w14:paraId="37755561">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（7）审查施工承包人提交的施工进度计划，核查承包人对施工进度计划的调整；</w:t>
      </w:r>
    </w:p>
    <w:p w14:paraId="2B594DE5">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（8）检查施工承包人的试验室；</w:t>
      </w:r>
    </w:p>
    <w:p w14:paraId="1C0E1400">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（9）审核施工分包人资质条件；</w:t>
      </w:r>
    </w:p>
    <w:p w14:paraId="6321F441">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（10）查验施工承包人的施工测量放线成果；</w:t>
      </w:r>
    </w:p>
    <w:p w14:paraId="28A43A8E">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（11）审查工程开工条件，对条件具备的签发开工令；</w:t>
      </w:r>
    </w:p>
    <w:p w14:paraId="3F67245D">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（12）审查施工承包人报送的工程材料、构配件、设备质量证明文件的有效性和符合性，并按规定对用于工程的材料采取平行检验或见证取样方式进行抽检；</w:t>
      </w:r>
    </w:p>
    <w:p w14:paraId="72EAE843">
      <w:pPr>
        <w:adjustRightInd w:val="0"/>
        <w:snapToGrid w:val="0"/>
        <w:spacing w:line="360" w:lineRule="auto"/>
        <w:ind w:left="-97" w:leftChars="-4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（13）审核施工承包人提交的工程款支付申请，签发或出具工程款支付证书，并报委托人审核、批准；</w:t>
      </w:r>
    </w:p>
    <w:p w14:paraId="38DD426F">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（14）在巡视、旁站和检验过程中，发现工程质量、施工安全存在事故隐患的，要求施工承包人整改并报委托人；</w:t>
      </w:r>
    </w:p>
    <w:p w14:paraId="1B4A6BFA">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（15）经委托人同意，签发工程暂停令和复工令；</w:t>
      </w:r>
    </w:p>
    <w:p w14:paraId="111D0C85">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（16）审查施工承包人提交的采用新材料、新工艺、新技术、新设备的论证材料及相关验收标准；</w:t>
      </w:r>
    </w:p>
    <w:p w14:paraId="227614B9">
      <w:pPr>
        <w:adjustRightInd w:val="0"/>
        <w:snapToGrid w:val="0"/>
        <w:spacing w:line="360" w:lineRule="auto"/>
        <w:ind w:firstLine="66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（17）验收隐蔽工程、分部分项工程；</w:t>
      </w:r>
    </w:p>
    <w:p w14:paraId="2705BED9">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（18）审查施工承包人提交的工程变更申请，协调处理施工进度调整、费用索赔、合同争议等事项；</w:t>
      </w:r>
    </w:p>
    <w:p w14:paraId="227742CE">
      <w:pPr>
        <w:adjustRightInd w:val="0"/>
        <w:snapToGrid w:val="0"/>
        <w:spacing w:line="360" w:lineRule="auto"/>
        <w:ind w:firstLine="6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（19）审查施工承包人提交的竣工验收申请，编写工程质量评估报告；</w:t>
      </w:r>
    </w:p>
    <w:p w14:paraId="544AA69C">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（20）参加工程竣工验收，签署竣工验收意见；</w:t>
      </w:r>
    </w:p>
    <w:p w14:paraId="4EE69D57">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（21）审查施工承包人提交的竣工结算申请并报委托人；</w:t>
      </w:r>
    </w:p>
    <w:p w14:paraId="002EF750">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（22）编制、整理工程监理归档文件并报委托人。</w:t>
      </w:r>
    </w:p>
    <w:p w14:paraId="24D27056">
      <w:pPr>
        <w:spacing w:line="360" w:lineRule="auto"/>
        <w:ind w:left="420" w:leftChars="200" w:firstLine="120" w:firstLineChars="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2.1.3 相关服务的范围和内容在附录A中约定。</w:t>
      </w:r>
    </w:p>
    <w:p w14:paraId="382C5688">
      <w:pPr>
        <w:spacing w:line="360" w:lineRule="auto"/>
        <w:ind w:firstLine="240" w:firstLine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2.2 </w:t>
      </w:r>
      <w:r>
        <w:rPr>
          <w:rFonts w:hint="eastAsia" w:ascii="仿宋" w:hAnsi="仿宋" w:eastAsia="仿宋" w:cs="仿宋"/>
          <w:bCs/>
          <w:color w:val="000000" w:themeColor="text1"/>
          <w:sz w:val="24"/>
          <w14:textFill>
            <w14:solidFill>
              <w14:schemeClr w14:val="tx1"/>
            </w14:solidFill>
          </w14:textFill>
        </w:rPr>
        <w:t>监理与相关服务依据</w:t>
      </w:r>
    </w:p>
    <w:p w14:paraId="1800659E">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2.2.1 监理依据包括：</w:t>
      </w:r>
    </w:p>
    <w:p w14:paraId="62471971">
      <w:pPr>
        <w:adjustRightInd w:val="0"/>
        <w:snapToGrid w:val="0"/>
        <w:spacing w:line="360" w:lineRule="auto"/>
        <w:ind w:firstLine="600" w:firstLineChars="2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（1）适用的法律、行政法规及部门规章；</w:t>
      </w:r>
    </w:p>
    <w:p w14:paraId="5CA7E2FC">
      <w:pPr>
        <w:adjustRightInd w:val="0"/>
        <w:snapToGrid w:val="0"/>
        <w:spacing w:line="360" w:lineRule="auto"/>
        <w:ind w:firstLine="600" w:firstLineChars="2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（2）与工程有关的标准；</w:t>
      </w:r>
    </w:p>
    <w:p w14:paraId="2FBBBCB5">
      <w:pPr>
        <w:adjustRightInd w:val="0"/>
        <w:snapToGrid w:val="0"/>
        <w:spacing w:line="360" w:lineRule="auto"/>
        <w:ind w:firstLine="600" w:firstLineChars="2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（3）工程设计及有关文件；</w:t>
      </w:r>
    </w:p>
    <w:p w14:paraId="50433974">
      <w:pPr>
        <w:adjustRightInd w:val="0"/>
        <w:snapToGrid w:val="0"/>
        <w:spacing w:line="360" w:lineRule="auto"/>
        <w:ind w:firstLine="600" w:firstLineChars="2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（4）本合同及委托人与第三方签订的与实施工程有关的其他合同。</w:t>
      </w:r>
    </w:p>
    <w:p w14:paraId="3DFFFED8">
      <w:pPr>
        <w:spacing w:line="360" w:lineRule="auto"/>
        <w:ind w:left="210" w:leftChars="100"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双方根据工程的行业和地域特点，在专用条件中具体约定监理依据。</w:t>
      </w:r>
    </w:p>
    <w:p w14:paraId="20E066EF">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2.2.2 相关服务依据在专用条件中约定。</w:t>
      </w:r>
    </w:p>
    <w:p w14:paraId="5BD996B8">
      <w:pPr>
        <w:spacing w:line="360" w:lineRule="auto"/>
        <w:ind w:firstLine="240" w:firstLine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 项目监理机构和人员</w:t>
      </w:r>
    </w:p>
    <w:p w14:paraId="4577FE04">
      <w:pPr>
        <w:adjustRightInd w:val="0"/>
        <w:snapToGrid w:val="0"/>
        <w:spacing w:line="360" w:lineRule="auto"/>
        <w:ind w:firstLine="645"/>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2.3.1 监理人应组建满足工作需要的项目监理机构，配备必要的检测设备。项目监理机构的主要人员应具有相应的资格条件。</w:t>
      </w:r>
    </w:p>
    <w:p w14:paraId="2758ABE2">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2.3.2本合同履行过程中，总监理工程师及重要岗位监理人员应保持相对稳定，以保证监理工作正常进行。</w:t>
      </w:r>
    </w:p>
    <w:p w14:paraId="0FC6BB12">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56035D55">
      <w:pPr>
        <w:adjustRightInd w:val="0"/>
        <w:snapToGrid w:val="0"/>
        <w:spacing w:line="360" w:lineRule="auto"/>
        <w:ind w:firstLine="480" w:firstLineChars="200"/>
        <w:outlineLvl w:val="4"/>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2.3.4 监理人应及时更换有下列情形之一的监理人员：</w:t>
      </w:r>
    </w:p>
    <w:p w14:paraId="5A205DC5">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（1）严重过失行为的；</w:t>
      </w:r>
    </w:p>
    <w:p w14:paraId="26BA2AE1">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（2）有违法行为不能履行职责的；</w:t>
      </w:r>
    </w:p>
    <w:p w14:paraId="4F0BCB2F">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（3）涉嫌犯罪的；</w:t>
      </w:r>
    </w:p>
    <w:p w14:paraId="127EB4ED">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（4）不能胜任岗位职责的；</w:t>
      </w:r>
    </w:p>
    <w:p w14:paraId="21EF9C53">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（5）严重违反职业道德的；</w:t>
      </w:r>
    </w:p>
    <w:p w14:paraId="004CE6C9">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（6）专用条件约定的其他情形。</w:t>
      </w:r>
    </w:p>
    <w:p w14:paraId="213E5D33">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2.3.5 委托人可要求监理人更换不能胜任本职工作的项目监理机构人员。</w:t>
      </w:r>
    </w:p>
    <w:p w14:paraId="708A3F7F">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 履行职责</w:t>
      </w:r>
    </w:p>
    <w:p w14:paraId="02B2EEC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监理人应遵循职业道德准则和行为规范，严格按照法律法规、工程建设有关标准及本合同履行职责。</w:t>
      </w:r>
    </w:p>
    <w:p w14:paraId="257F7468">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2.4.1 在监理与相关服务范围内，委托人和承包人提出的意见和要求，监理人应及时提出处置意见。当委托人与承包人之间发生合同争议时，监理人应协助委托人、承包人协商解决。</w:t>
      </w:r>
    </w:p>
    <w:p w14:paraId="25A17607">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2.4.2 当委托人与承包人之间的合同争议提交仲裁机构仲裁或人民法院审理时，监理人应提供必要的证明资料。</w:t>
      </w:r>
    </w:p>
    <w:p w14:paraId="3E39B685">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2.4.3 监理人应在专用条件约定的授权范围内，处理委托人与承包人所签订合同的变更事宜。如果变更超过授权范围，应以书面形式报委托人批准。</w:t>
      </w:r>
    </w:p>
    <w:p w14:paraId="471BED33">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在紧急情况下，为了保护财产和人身安全，监理人所发出的指令未能事先报委托人批准时，应在发出指令后的24小时内以书面形式报委托人。</w:t>
      </w:r>
    </w:p>
    <w:p w14:paraId="1567920D">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2.4.4 除专用条件另有约定外，监理人发现承包人的人员不能胜任本职工作的，有权要求承包人予以调换。</w:t>
      </w:r>
    </w:p>
    <w:p w14:paraId="415AAC01">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2.5 提交报告</w:t>
      </w:r>
    </w:p>
    <w:p w14:paraId="4E856D71">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监理人应按专用条件约定的种类、时间和份数向委托人提交监理与相关服务的报告。</w:t>
      </w:r>
    </w:p>
    <w:p w14:paraId="6FC46209">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2.6 文件资料</w:t>
      </w:r>
    </w:p>
    <w:p w14:paraId="5BF1F93D">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在本合同履行期内，监理人应在现场保留工作所用的图纸、报告及记录监理工</w:t>
      </w:r>
      <w:r>
        <w:rPr>
          <w:rFonts w:hint="eastAsia" w:ascii="仿宋" w:hAnsi="仿宋" w:eastAsia="仿宋" w:cs="仿宋"/>
          <w:color w:val="000000" w:themeColor="text1"/>
          <w:sz w:val="24"/>
          <w14:textFill>
            <w14:solidFill>
              <w14:schemeClr w14:val="tx1"/>
            </w14:solidFill>
          </w14:textFill>
        </w:rPr>
        <w:t>作的相关文件。工程竣工后，应当按照档案管理规定将监理有关文件归档。</w:t>
      </w:r>
    </w:p>
    <w:p w14:paraId="6CF390AB">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2.7 使用委托人的财产</w:t>
      </w:r>
    </w:p>
    <w:p w14:paraId="5701E575">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7ECCA4B9">
      <w:pPr>
        <w:spacing w:line="360" w:lineRule="auto"/>
        <w:outlineLvl w:val="2"/>
        <w:rPr>
          <w:rFonts w:hint="eastAsia" w:ascii="仿宋" w:hAnsi="仿宋" w:eastAsia="仿宋" w:cs="仿宋"/>
          <w:b/>
          <w:color w:val="000000" w:themeColor="text1"/>
          <w:kern w:val="0"/>
          <w:sz w:val="24"/>
          <w14:textFill>
            <w14:solidFill>
              <w14:schemeClr w14:val="tx1"/>
            </w14:solidFill>
          </w14:textFill>
        </w:rPr>
      </w:pPr>
      <w:r>
        <w:rPr>
          <w:rFonts w:hint="eastAsia" w:ascii="仿宋" w:hAnsi="仿宋" w:eastAsia="仿宋" w:cs="仿宋"/>
          <w:b/>
          <w:color w:val="000000" w:themeColor="text1"/>
          <w:kern w:val="0"/>
          <w:sz w:val="24"/>
          <w14:textFill>
            <w14:solidFill>
              <w14:schemeClr w14:val="tx1"/>
            </w14:solidFill>
          </w14:textFill>
        </w:rPr>
        <w:t>3．委托人的义务</w:t>
      </w:r>
    </w:p>
    <w:p w14:paraId="0BD84AA4">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3.1 告知</w:t>
      </w:r>
    </w:p>
    <w:p w14:paraId="03B42BC1">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委托人应在委托人与承包人签订的合同中明确监理人、总监理工程师和授予项目监理机构的权限。如有变更，应及时通知承包人。</w:t>
      </w:r>
    </w:p>
    <w:p w14:paraId="31FF4B1A">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3.2 提供资料</w:t>
      </w:r>
    </w:p>
    <w:p w14:paraId="29F102EE">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委托人应按照附录B约定，无偿向监理人提供工程有关的资料。</w:t>
      </w:r>
      <w:r>
        <w:rPr>
          <w:rFonts w:hint="eastAsia" w:ascii="仿宋" w:hAnsi="仿宋" w:eastAsia="仿宋" w:cs="仿宋"/>
          <w:color w:val="000000" w:themeColor="text1"/>
          <w:sz w:val="24"/>
          <w14:textFill>
            <w14:solidFill>
              <w14:schemeClr w14:val="tx1"/>
            </w14:solidFill>
          </w14:textFill>
        </w:rPr>
        <w:t>在本合同履行过程中，委托人应及时向监理人提供最新的与工程有关的资料。</w:t>
      </w:r>
    </w:p>
    <w:p w14:paraId="1E0A402D">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3.3 提供工作条件</w:t>
      </w:r>
    </w:p>
    <w:p w14:paraId="0A4CBE6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委托人应为监理人完成监理与相关服务提供必要的条件。</w:t>
      </w:r>
    </w:p>
    <w:p w14:paraId="3D31A79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3.3.1 </w:t>
      </w:r>
      <w:r>
        <w:rPr>
          <w:rFonts w:hint="eastAsia" w:ascii="仿宋" w:hAnsi="仿宋" w:eastAsia="仿宋" w:cs="仿宋"/>
          <w:color w:val="000000" w:themeColor="text1"/>
          <w:sz w:val="24"/>
          <w14:textFill>
            <w14:solidFill>
              <w14:schemeClr w14:val="tx1"/>
            </w14:solidFill>
          </w14:textFill>
        </w:rPr>
        <w:t>委托人应按照附录B约定，派遣相应的人员，提供房屋、设备，供监理人</w:t>
      </w:r>
      <w:r>
        <w:rPr>
          <w:rFonts w:hint="eastAsia" w:ascii="仿宋" w:hAnsi="仿宋" w:eastAsia="仿宋" w:cs="仿宋"/>
          <w:color w:val="000000" w:themeColor="text1"/>
          <w:kern w:val="0"/>
          <w:sz w:val="24"/>
          <w14:textFill>
            <w14:solidFill>
              <w14:schemeClr w14:val="tx1"/>
            </w14:solidFill>
          </w14:textFill>
        </w:rPr>
        <w:t>无偿</w:t>
      </w:r>
      <w:r>
        <w:rPr>
          <w:rFonts w:hint="eastAsia" w:ascii="仿宋" w:hAnsi="仿宋" w:eastAsia="仿宋" w:cs="仿宋"/>
          <w:color w:val="000000" w:themeColor="text1"/>
          <w:sz w:val="24"/>
          <w14:textFill>
            <w14:solidFill>
              <w14:schemeClr w14:val="tx1"/>
            </w14:solidFill>
          </w14:textFill>
        </w:rPr>
        <w:t>使用。</w:t>
      </w:r>
    </w:p>
    <w:p w14:paraId="34F7702D">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3.3.2 </w:t>
      </w:r>
      <w:r>
        <w:rPr>
          <w:rFonts w:hint="eastAsia" w:ascii="仿宋" w:hAnsi="仿宋" w:eastAsia="仿宋" w:cs="仿宋"/>
          <w:color w:val="000000" w:themeColor="text1"/>
          <w:sz w:val="24"/>
          <w14:textFill>
            <w14:solidFill>
              <w14:schemeClr w14:val="tx1"/>
            </w14:solidFill>
          </w14:textFill>
        </w:rPr>
        <w:t>委托人应负责协调工程建设中所有外部关系，为监理人履行本合同提供必要的外部条件。</w:t>
      </w:r>
    </w:p>
    <w:p w14:paraId="13972ECA">
      <w:pPr>
        <w:snapToGrid w:val="0"/>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3.4 委托人代表</w:t>
      </w:r>
    </w:p>
    <w:p w14:paraId="29EAB6F4">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委托人应授权一名熟悉工程情况的代表，负责与监理人联系。委托人应在双方签订本合同后7天内，将委托人代表的姓名和职责书面告知监理人。当委托人更换委托人代表时，应提前7天通知监理人。</w:t>
      </w:r>
    </w:p>
    <w:p w14:paraId="2C7971A1">
      <w:pPr>
        <w:snapToGrid w:val="0"/>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3.5 委托人意见或要求</w:t>
      </w:r>
    </w:p>
    <w:p w14:paraId="4A08EFCD">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在本合同约定的监理与相关服务工作范围内，委托人对承包人的任何意见或要求应通知监理人，由监理人向承包人发出相应指令。</w:t>
      </w:r>
    </w:p>
    <w:p w14:paraId="53E45BCB">
      <w:pPr>
        <w:snapToGrid w:val="0"/>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3.6 答复</w:t>
      </w:r>
    </w:p>
    <w:p w14:paraId="7AA27028">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委托人应在专用条件约定的时间内，对监理人以书面形式提交并要求作出决定的事宜，给予书面答复。逾期未答复的，视为委托人认可。</w:t>
      </w:r>
    </w:p>
    <w:p w14:paraId="44B5A092">
      <w:pPr>
        <w:snapToGrid w:val="0"/>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3.7 支付</w:t>
      </w:r>
    </w:p>
    <w:p w14:paraId="06DDEC91">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委托人应按本合同约定，向监理人支付酬金。</w:t>
      </w:r>
    </w:p>
    <w:p w14:paraId="0AC91CE5">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4. 违约责任</w:t>
      </w:r>
    </w:p>
    <w:p w14:paraId="606622BB">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4.1 监理人的违约责任</w:t>
      </w:r>
    </w:p>
    <w:p w14:paraId="494F39D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监理人未履行本合同义务的，应承担相应的责任。</w:t>
      </w:r>
    </w:p>
    <w:p w14:paraId="7F6B1278">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4.1.1 因监理人违反本合同约定</w:t>
      </w:r>
      <w:r>
        <w:rPr>
          <w:rFonts w:hint="eastAsia" w:ascii="仿宋" w:hAnsi="仿宋" w:eastAsia="仿宋" w:cs="仿宋"/>
          <w:color w:val="000000" w:themeColor="text1"/>
          <w:sz w:val="24"/>
          <w14:textFill>
            <w14:solidFill>
              <w14:schemeClr w14:val="tx1"/>
            </w14:solidFill>
          </w14:textFill>
        </w:rPr>
        <w:t>给委托人造成损失的，监理人应当赔偿委托人损失</w:t>
      </w:r>
      <w:r>
        <w:rPr>
          <w:rFonts w:hint="eastAsia" w:ascii="仿宋" w:hAnsi="仿宋" w:eastAsia="仿宋" w:cs="仿宋"/>
          <w:color w:val="000000" w:themeColor="text1"/>
          <w:kern w:val="0"/>
          <w:sz w:val="24"/>
          <w14:textFill>
            <w14:solidFill>
              <w14:schemeClr w14:val="tx1"/>
            </w14:solidFill>
          </w14:textFill>
        </w:rPr>
        <w:t>。赔偿金额的确定方法在专用条件中约定。监理人承担部分赔偿责任的，其承担赔偿金额由双方协商确定。</w:t>
      </w:r>
    </w:p>
    <w:p w14:paraId="49B0813A">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4.1.2 监理人向委托人的索赔不成立时，监理人应赔偿委托人由此发生的费用。</w:t>
      </w:r>
    </w:p>
    <w:p w14:paraId="135A5CD3">
      <w:pPr>
        <w:snapToGrid w:val="0"/>
        <w:spacing w:line="360" w:lineRule="auto"/>
        <w:ind w:firstLine="240" w:firstLine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4.2 委托人的违约责任</w:t>
      </w:r>
    </w:p>
    <w:p w14:paraId="0CA7BA76">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委托人未履行本合同义务的，应承担相应的责任。</w:t>
      </w:r>
    </w:p>
    <w:p w14:paraId="19A8F000">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4.2.1 委托人违反本合同约定造成监理人损失的，委托人应予以赔偿。</w:t>
      </w:r>
    </w:p>
    <w:p w14:paraId="010BED25">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4.2.2 委托人向监理人的索赔不成立时，应赔偿监理人由此引起的费用。</w:t>
      </w:r>
    </w:p>
    <w:p w14:paraId="4195604F">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4.2.3 </w:t>
      </w:r>
      <w:r>
        <w:rPr>
          <w:rFonts w:hint="eastAsia" w:ascii="仿宋" w:hAnsi="仿宋" w:eastAsia="仿宋" w:cs="仿宋"/>
          <w:color w:val="000000" w:themeColor="text1"/>
          <w:kern w:val="0"/>
          <w:sz w:val="24"/>
          <w14:textFill>
            <w14:solidFill>
              <w14:schemeClr w14:val="tx1"/>
            </w14:solidFill>
          </w14:textFill>
        </w:rPr>
        <w:t>委托人未能按期支付</w:t>
      </w:r>
      <w:r>
        <w:rPr>
          <w:rFonts w:hint="eastAsia" w:ascii="仿宋" w:hAnsi="仿宋" w:eastAsia="仿宋" w:cs="仿宋"/>
          <w:color w:val="000000" w:themeColor="text1"/>
          <w:sz w:val="24"/>
          <w14:textFill>
            <w14:solidFill>
              <w14:schemeClr w14:val="tx1"/>
            </w14:solidFill>
          </w14:textFill>
        </w:rPr>
        <w:t>酬金</w:t>
      </w:r>
      <w:r>
        <w:rPr>
          <w:rFonts w:hint="eastAsia" w:ascii="仿宋" w:hAnsi="仿宋" w:eastAsia="仿宋" w:cs="仿宋"/>
          <w:color w:val="000000" w:themeColor="text1"/>
          <w:kern w:val="0"/>
          <w:sz w:val="24"/>
          <w14:textFill>
            <w14:solidFill>
              <w14:schemeClr w14:val="tx1"/>
            </w14:solidFill>
          </w14:textFill>
        </w:rPr>
        <w:t>超过28天，应按专用条件约定支付逾期付款利息。</w:t>
      </w:r>
    </w:p>
    <w:p w14:paraId="1A9C9590">
      <w:pPr>
        <w:spacing w:line="360" w:lineRule="auto"/>
        <w:ind w:firstLine="240" w:firstLine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4.3 除外责任</w:t>
      </w:r>
    </w:p>
    <w:p w14:paraId="0422729C">
      <w:pPr>
        <w:adjustRightInd w:val="0"/>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因非监理人的原因，且监理人无过错，发生工程质量事故、安全事故、工期延误等造成的损失，监理人不承担赔偿责任。</w:t>
      </w:r>
    </w:p>
    <w:p w14:paraId="38936E1D">
      <w:pPr>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因不可抗力导致本合同全部或部分不能履行时，双方各自承担其因此而造成的损失、损害。</w:t>
      </w:r>
    </w:p>
    <w:p w14:paraId="0AF42528">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5. 支付</w:t>
      </w:r>
    </w:p>
    <w:p w14:paraId="5342221B">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5.1 </w:t>
      </w:r>
      <w:r>
        <w:rPr>
          <w:rFonts w:hint="eastAsia" w:ascii="仿宋" w:hAnsi="仿宋" w:eastAsia="仿宋" w:cs="仿宋"/>
          <w:bCs/>
          <w:color w:val="000000" w:themeColor="text1"/>
          <w:sz w:val="24"/>
          <w14:textFill>
            <w14:solidFill>
              <w14:schemeClr w14:val="tx1"/>
            </w14:solidFill>
          </w14:textFill>
        </w:rPr>
        <w:t>支付货币</w:t>
      </w:r>
    </w:p>
    <w:p w14:paraId="2B2356F4">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除专用条件另有约定外，酬金均以人民币支付。涉及外币支付的，所采用的货币种类、比例和汇率在专用条件中约定。</w:t>
      </w:r>
    </w:p>
    <w:p w14:paraId="05CB8CC3">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5.2 支付申请</w:t>
      </w:r>
    </w:p>
    <w:p w14:paraId="6CE3B834">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监理人应在本合同约定的每次应付款时间的7天前，向委托人提交支付申请书。支付申请书应当说明当期应付款总额，并列出当期应支付的款项及其金额。</w:t>
      </w:r>
    </w:p>
    <w:p w14:paraId="771E98E6">
      <w:pPr>
        <w:snapToGrid w:val="0"/>
        <w:spacing w:line="360" w:lineRule="auto"/>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5.3 支付酬金</w:t>
      </w:r>
    </w:p>
    <w:p w14:paraId="6BDCB30D">
      <w:pPr>
        <w:snapToGrid w:val="0"/>
        <w:spacing w:line="360" w:lineRule="auto"/>
        <w:ind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支付的酬金包括正常工作酬金、附加工作酬金、合理化建议奖励金额及费用。</w:t>
      </w:r>
    </w:p>
    <w:p w14:paraId="0CCDF189">
      <w:pPr>
        <w:snapToGrid w:val="0"/>
        <w:spacing w:line="360" w:lineRule="auto"/>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5.4 </w:t>
      </w:r>
      <w:r>
        <w:rPr>
          <w:rFonts w:hint="eastAsia" w:ascii="仿宋" w:hAnsi="仿宋" w:eastAsia="仿宋" w:cs="仿宋"/>
          <w:bCs/>
          <w:color w:val="000000" w:themeColor="text1"/>
          <w:sz w:val="24"/>
          <w14:textFill>
            <w14:solidFill>
              <w14:schemeClr w14:val="tx1"/>
            </w14:solidFill>
          </w14:textFill>
        </w:rPr>
        <w:t>有争议部分的付款</w:t>
      </w:r>
    </w:p>
    <w:p w14:paraId="53B7D954">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委托人对监理人提交的支付申请书有异议时，应当在收到监理人提交的支付申请书后7天内，以书面形式向监理人发出异议通知。无异议部分的款项应按期支付，有异议部分的款项按第7条约定办理。</w:t>
      </w:r>
    </w:p>
    <w:p w14:paraId="4F194D12">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6. 合同生效、变更、暂停、解除与终止</w:t>
      </w:r>
    </w:p>
    <w:p w14:paraId="18AE986A">
      <w:pPr>
        <w:spacing w:line="360" w:lineRule="auto"/>
        <w:ind w:left="210" w:leftChars="100"/>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6.1生效</w:t>
      </w:r>
    </w:p>
    <w:p w14:paraId="7D19CB0F">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除法律另有规定或者专用条件另有约定外，委托人和监理人的法定代表人或其授权代理人在协议书上签字并盖单位章后本合同生效。</w:t>
      </w:r>
    </w:p>
    <w:p w14:paraId="618FF343">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w:t>
      </w:r>
      <w:r>
        <w:rPr>
          <w:rFonts w:hint="eastAsia" w:ascii="仿宋" w:hAnsi="仿宋" w:eastAsia="仿宋" w:cs="仿宋"/>
          <w:bCs/>
          <w:color w:val="000000" w:themeColor="text1"/>
          <w:sz w:val="24"/>
          <w14:textFill>
            <w14:solidFill>
              <w14:schemeClr w14:val="tx1"/>
            </w14:solidFill>
          </w14:textFill>
        </w:rPr>
        <w:t>变更</w:t>
      </w:r>
    </w:p>
    <w:p w14:paraId="6A743212">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6.2.1 任何一方提出变更请求时，双方经协商一致后可进行变更。</w:t>
      </w:r>
    </w:p>
    <w:p w14:paraId="06B1C97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6D8B77EE">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1A84D628">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6.2.4合同签订后，遇有与工程相关的法律法规、标准颁布或修订的，双方应遵照执行。由此引起监理与相关服务的范围、时间、酬金变化的，双方应通过协商进行相应调整。</w:t>
      </w:r>
    </w:p>
    <w:p w14:paraId="75187732">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6.2.5 因非监理人原因造成工程概算投资额或建筑安装工程费增加时，正常工作酬金应作相应调整。调整方法在专用条件中约定。</w:t>
      </w:r>
    </w:p>
    <w:p w14:paraId="46A1C1FC">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6.2.6 因工程规模、监理范围的变化导致监理人的正常工作量减少时，正常工作酬金应作相应调整。调整方法在专用条件中约定。</w:t>
      </w:r>
    </w:p>
    <w:p w14:paraId="469BAE19">
      <w:pPr>
        <w:snapToGrid w:val="0"/>
        <w:spacing w:line="360" w:lineRule="auto"/>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6.3 暂停与</w:t>
      </w:r>
      <w:r>
        <w:rPr>
          <w:rFonts w:hint="eastAsia" w:ascii="仿宋" w:hAnsi="仿宋" w:eastAsia="仿宋" w:cs="仿宋"/>
          <w:bCs/>
          <w:color w:val="000000" w:themeColor="text1"/>
          <w:sz w:val="24"/>
          <w14:textFill>
            <w14:solidFill>
              <w14:schemeClr w14:val="tx1"/>
            </w14:solidFill>
          </w14:textFill>
        </w:rPr>
        <w:t>解除</w:t>
      </w:r>
    </w:p>
    <w:p w14:paraId="5D72CED8">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除双方协商一致可以解除本合同外，当一方无正当理由未履行本合同约定的义务时，另一方可以根据本合同约定暂停履行本合同直至解除本合同。</w:t>
      </w:r>
    </w:p>
    <w:p w14:paraId="1876258A">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078AD649">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因解除本合同或解除监理人的部分义务导致监理人遭受的损失，除依法可以免除责任的情况外，应由委托人予以补偿，补偿金额由双方协商确定。</w:t>
      </w:r>
    </w:p>
    <w:p w14:paraId="744B5601">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解除本合同的协议必须采取书面形式，协议未达成之前，本合同仍然有效。</w:t>
      </w:r>
    </w:p>
    <w:p w14:paraId="092F5A01">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789C92BB">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仿宋" w:hAnsi="仿宋" w:eastAsia="仿宋" w:cs="仿宋"/>
          <w:color w:val="000000" w:themeColor="text1"/>
          <w:kern w:val="0"/>
          <w:sz w:val="24"/>
          <w14:textFill>
            <w14:solidFill>
              <w14:schemeClr w14:val="tx1"/>
            </w14:solidFill>
          </w14:textFill>
        </w:rPr>
        <w:t>的</w:t>
      </w:r>
      <w:r>
        <w:rPr>
          <w:rFonts w:hint="eastAsia" w:ascii="仿宋" w:hAnsi="仿宋" w:eastAsia="仿宋" w:cs="仿宋"/>
          <w:color w:val="000000" w:themeColor="text1"/>
          <w:sz w:val="24"/>
          <w14:textFill>
            <w14:solidFill>
              <w14:schemeClr w14:val="tx1"/>
            </w14:solidFill>
          </w14:textFill>
        </w:rPr>
        <w:t>酬金支付至本合同解除日，且应承担第4.2款约定的责任。</w:t>
      </w:r>
    </w:p>
    <w:p w14:paraId="29B5FCE2">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仿宋" w:hAnsi="仿宋" w:eastAsia="仿宋" w:cs="仿宋"/>
          <w:color w:val="000000" w:themeColor="text1"/>
          <w:kern w:val="0"/>
          <w:sz w:val="24"/>
          <w14:textFill>
            <w14:solidFill>
              <w14:schemeClr w14:val="tx1"/>
            </w14:solidFill>
          </w14:textFill>
        </w:rPr>
        <w:t>的</w:t>
      </w:r>
      <w:r>
        <w:rPr>
          <w:rFonts w:hint="eastAsia" w:ascii="仿宋" w:hAnsi="仿宋" w:eastAsia="仿宋" w:cs="仿宋"/>
          <w:color w:val="000000" w:themeColor="text1"/>
          <w:sz w:val="24"/>
          <w14:textFill>
            <w14:solidFill>
              <w14:schemeClr w14:val="tx1"/>
            </w14:solidFill>
          </w14:textFill>
        </w:rPr>
        <w:t>酬金支付至</w:t>
      </w:r>
      <w:r>
        <w:rPr>
          <w:rFonts w:hint="eastAsia" w:ascii="仿宋" w:hAnsi="仿宋" w:eastAsia="仿宋" w:cs="仿宋"/>
          <w:color w:val="000000" w:themeColor="text1"/>
          <w:kern w:val="0"/>
          <w:sz w:val="24"/>
          <w14:textFill>
            <w14:solidFill>
              <w14:schemeClr w14:val="tx1"/>
            </w14:solidFill>
          </w14:textFill>
        </w:rPr>
        <w:t>限期改正通知到达监理人之日</w:t>
      </w:r>
      <w:r>
        <w:rPr>
          <w:rFonts w:hint="eastAsia" w:ascii="仿宋" w:hAnsi="仿宋" w:eastAsia="仿宋" w:cs="仿宋"/>
          <w:color w:val="000000" w:themeColor="text1"/>
          <w:sz w:val="24"/>
          <w14:textFill>
            <w14:solidFill>
              <w14:schemeClr w14:val="tx1"/>
            </w14:solidFill>
          </w14:textFill>
        </w:rPr>
        <w:t>，但监理人应承担第4.1款约定的责任。</w:t>
      </w:r>
    </w:p>
    <w:p w14:paraId="45B321C6">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04238133">
      <w:pPr>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6.3.5 因不可抗力致使本合同部分或全部不能履行时，一方应立即通知另一方，可暂停或解除本合同。</w:t>
      </w:r>
    </w:p>
    <w:p w14:paraId="612033F4">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6.3.6 本合同解除后，本合同约定的有关结算、清理、争议解决方式的条件仍然有效。</w:t>
      </w:r>
    </w:p>
    <w:p w14:paraId="2B75FAD9">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6.4 </w:t>
      </w:r>
      <w:r>
        <w:rPr>
          <w:rFonts w:hint="eastAsia" w:ascii="仿宋" w:hAnsi="仿宋" w:eastAsia="仿宋" w:cs="仿宋"/>
          <w:bCs/>
          <w:color w:val="000000" w:themeColor="text1"/>
          <w:sz w:val="24"/>
          <w14:textFill>
            <w14:solidFill>
              <w14:schemeClr w14:val="tx1"/>
            </w14:solidFill>
          </w14:textFill>
        </w:rPr>
        <w:t>终止</w:t>
      </w:r>
    </w:p>
    <w:p w14:paraId="68251D30">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以下条件全部满足时，本合同即告终止：</w:t>
      </w:r>
    </w:p>
    <w:p w14:paraId="72DDA9C7">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（1）监理人完成本合同约定的全部工作；</w:t>
      </w:r>
    </w:p>
    <w:p w14:paraId="3CC73459">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（2）委托人与监理人结清并支付全部酬金。</w:t>
      </w:r>
    </w:p>
    <w:p w14:paraId="41301A51">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7. 争议解决</w:t>
      </w:r>
    </w:p>
    <w:p w14:paraId="6D6E630D">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7.1</w:t>
      </w:r>
      <w:r>
        <w:rPr>
          <w:rFonts w:hint="eastAsia" w:ascii="仿宋" w:hAnsi="仿宋" w:eastAsia="仿宋" w:cs="仿宋"/>
          <w:bCs/>
          <w:color w:val="000000" w:themeColor="text1"/>
          <w:sz w:val="24"/>
          <w14:textFill>
            <w14:solidFill>
              <w14:schemeClr w14:val="tx1"/>
            </w14:solidFill>
          </w14:textFill>
        </w:rPr>
        <w:t>协商</w:t>
      </w:r>
    </w:p>
    <w:p w14:paraId="3EDACA75">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双方应本着诚信原则协商解决彼此间的争议。</w:t>
      </w:r>
    </w:p>
    <w:p w14:paraId="6A95B129">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7.2</w:t>
      </w:r>
      <w:r>
        <w:rPr>
          <w:rFonts w:hint="eastAsia" w:ascii="仿宋" w:hAnsi="仿宋" w:eastAsia="仿宋" w:cs="仿宋"/>
          <w:bCs/>
          <w:color w:val="000000" w:themeColor="text1"/>
          <w:sz w:val="24"/>
          <w14:textFill>
            <w14:solidFill>
              <w14:schemeClr w14:val="tx1"/>
            </w14:solidFill>
          </w14:textFill>
        </w:rPr>
        <w:t>调解</w:t>
      </w:r>
    </w:p>
    <w:p w14:paraId="0BBA56C0">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如果双方不能在14天内或双方商定的其他时间内解决本合同争议，可以将其提交给专用条件约定的或事后达成协议的调解人进行调解。</w:t>
      </w:r>
    </w:p>
    <w:p w14:paraId="069EC9F6">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7.3</w:t>
      </w:r>
      <w:r>
        <w:rPr>
          <w:rFonts w:hint="eastAsia" w:ascii="仿宋" w:hAnsi="仿宋" w:eastAsia="仿宋" w:cs="仿宋"/>
          <w:bCs/>
          <w:color w:val="000000" w:themeColor="text1"/>
          <w:sz w:val="24"/>
          <w14:textFill>
            <w14:solidFill>
              <w14:schemeClr w14:val="tx1"/>
            </w14:solidFill>
          </w14:textFill>
        </w:rPr>
        <w:t>仲裁或诉讼</w:t>
      </w:r>
    </w:p>
    <w:p w14:paraId="14B69D6A">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双方均有权不经调解直接向专用条件约定的仲裁机构申请仲裁或向有管辖权的人民法院提起诉讼。</w:t>
      </w:r>
    </w:p>
    <w:p w14:paraId="3CC1A414">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8. 其他</w:t>
      </w:r>
    </w:p>
    <w:p w14:paraId="6BC0726C">
      <w:pPr>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8.1 </w:t>
      </w:r>
      <w:r>
        <w:rPr>
          <w:rFonts w:hint="eastAsia" w:ascii="仿宋" w:hAnsi="仿宋" w:eastAsia="仿宋" w:cs="仿宋"/>
          <w:bCs/>
          <w:color w:val="000000" w:themeColor="text1"/>
          <w:sz w:val="24"/>
          <w14:textFill>
            <w14:solidFill>
              <w14:schemeClr w14:val="tx1"/>
            </w14:solidFill>
          </w14:textFill>
        </w:rPr>
        <w:t>外出考察费用</w:t>
      </w:r>
    </w:p>
    <w:p w14:paraId="50F28D4C">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经委托人同意，监理人员外出考察发生的费用由委托人审核后支付。</w:t>
      </w:r>
    </w:p>
    <w:p w14:paraId="04238464">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8.2 </w:t>
      </w:r>
      <w:r>
        <w:rPr>
          <w:rFonts w:hint="eastAsia" w:ascii="仿宋" w:hAnsi="仿宋" w:eastAsia="仿宋" w:cs="仿宋"/>
          <w:bCs/>
          <w:color w:val="000000" w:themeColor="text1"/>
          <w:sz w:val="24"/>
          <w14:textFill>
            <w14:solidFill>
              <w14:schemeClr w14:val="tx1"/>
            </w14:solidFill>
          </w14:textFill>
        </w:rPr>
        <w:t>检测费用</w:t>
      </w:r>
    </w:p>
    <w:p w14:paraId="619A9365">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委托人要求监理人进行的材料和设备检测所发生的费用，由委托人支付，支付时间在专用条件中约定。</w:t>
      </w:r>
    </w:p>
    <w:p w14:paraId="021563D6">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8.3 </w:t>
      </w:r>
      <w:r>
        <w:rPr>
          <w:rFonts w:hint="eastAsia" w:ascii="仿宋" w:hAnsi="仿宋" w:eastAsia="仿宋" w:cs="仿宋"/>
          <w:bCs/>
          <w:color w:val="000000" w:themeColor="text1"/>
          <w:sz w:val="24"/>
          <w14:textFill>
            <w14:solidFill>
              <w14:schemeClr w14:val="tx1"/>
            </w14:solidFill>
          </w14:textFill>
        </w:rPr>
        <w:t>咨询费用</w:t>
      </w:r>
    </w:p>
    <w:p w14:paraId="09A3A990">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经委托人同意，根据工程需要由监理人组织的相关咨询论证会以及聘请相关专家等发生的费用由委托人支付，支付时间在专用条件中约定。</w:t>
      </w:r>
    </w:p>
    <w:p w14:paraId="66ACC238">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8.4 </w:t>
      </w:r>
      <w:r>
        <w:rPr>
          <w:rFonts w:hint="eastAsia" w:ascii="仿宋" w:hAnsi="仿宋" w:eastAsia="仿宋" w:cs="仿宋"/>
          <w:bCs/>
          <w:color w:val="000000" w:themeColor="text1"/>
          <w:sz w:val="24"/>
          <w14:textFill>
            <w14:solidFill>
              <w14:schemeClr w14:val="tx1"/>
            </w14:solidFill>
          </w14:textFill>
        </w:rPr>
        <w:t>奖励</w:t>
      </w:r>
    </w:p>
    <w:p w14:paraId="0CA3C511">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监理人在服务过程中提出的合理化建议，使委托人获得经济效益的，双方在专用条件中约定奖励金额的确定方法。奖励金额在合理化建议被采纳后，与最近一期的正常工作酬金同期支付。</w:t>
      </w:r>
    </w:p>
    <w:p w14:paraId="01CBC27F">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8.5 </w:t>
      </w:r>
      <w:r>
        <w:rPr>
          <w:rFonts w:hint="eastAsia" w:ascii="仿宋" w:hAnsi="仿宋" w:eastAsia="仿宋" w:cs="仿宋"/>
          <w:bCs/>
          <w:color w:val="000000" w:themeColor="text1"/>
          <w:sz w:val="24"/>
          <w14:textFill>
            <w14:solidFill>
              <w14:schemeClr w14:val="tx1"/>
            </w14:solidFill>
          </w14:textFill>
        </w:rPr>
        <w:t>守法诚信</w:t>
      </w:r>
    </w:p>
    <w:p w14:paraId="00F120C9">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监理人及其工作人员不得从与实施工程有关的第三方处获得任何经济利益。</w:t>
      </w:r>
    </w:p>
    <w:p w14:paraId="3D837DAA">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8.6 </w:t>
      </w:r>
      <w:r>
        <w:rPr>
          <w:rFonts w:hint="eastAsia" w:ascii="仿宋" w:hAnsi="仿宋" w:eastAsia="仿宋" w:cs="仿宋"/>
          <w:bCs/>
          <w:color w:val="000000" w:themeColor="text1"/>
          <w:sz w:val="24"/>
          <w14:textFill>
            <w14:solidFill>
              <w14:schemeClr w14:val="tx1"/>
            </w14:solidFill>
          </w14:textFill>
        </w:rPr>
        <w:t>保密</w:t>
      </w:r>
    </w:p>
    <w:p w14:paraId="7878A788">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双方不得泄露对方申明的保密资料，亦不得泄露与实施工程有关的第三方所提供的保密资料，保密事项在专用条件中约定。</w:t>
      </w:r>
    </w:p>
    <w:p w14:paraId="47C01620">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8.7 </w:t>
      </w:r>
      <w:r>
        <w:rPr>
          <w:rFonts w:hint="eastAsia" w:ascii="仿宋" w:hAnsi="仿宋" w:eastAsia="仿宋" w:cs="仿宋"/>
          <w:bCs/>
          <w:color w:val="000000" w:themeColor="text1"/>
          <w:sz w:val="24"/>
          <w14:textFill>
            <w14:solidFill>
              <w14:schemeClr w14:val="tx1"/>
            </w14:solidFill>
          </w14:textFill>
        </w:rPr>
        <w:t>通知</w:t>
      </w:r>
    </w:p>
    <w:p w14:paraId="2F1D9E12">
      <w:pPr>
        <w:snapToGrid w:val="0"/>
        <w:spacing w:line="360" w:lineRule="auto"/>
        <w:ind w:firstLine="480" w:firstLineChars="200"/>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本合同涉及的通知均应当采用书面形式，并在送达对方时生效，收件人应书面签收。</w:t>
      </w:r>
    </w:p>
    <w:p w14:paraId="1E45E737">
      <w:pPr>
        <w:snapToGrid w:val="0"/>
        <w:spacing w:line="360" w:lineRule="auto"/>
        <w:ind w:left="210" w:leftChars="100"/>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8.8 </w:t>
      </w:r>
      <w:r>
        <w:rPr>
          <w:rFonts w:hint="eastAsia" w:ascii="仿宋" w:hAnsi="仿宋" w:eastAsia="仿宋" w:cs="仿宋"/>
          <w:bCs/>
          <w:color w:val="000000" w:themeColor="text1"/>
          <w:sz w:val="24"/>
          <w14:textFill>
            <w14:solidFill>
              <w14:schemeClr w14:val="tx1"/>
            </w14:solidFill>
          </w14:textFill>
        </w:rPr>
        <w:t>著作权</w:t>
      </w:r>
    </w:p>
    <w:p w14:paraId="7AC3F82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监理人对其编制的文件拥有著作权。</w:t>
      </w:r>
    </w:p>
    <w:p w14:paraId="4B14D653">
      <w:pPr>
        <w:snapToGrid w:val="0"/>
        <w:spacing w:line="360" w:lineRule="auto"/>
        <w:ind w:firstLine="48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14:paraId="796F1147">
      <w:pPr>
        <w:pageBreakBefore/>
        <w:spacing w:line="360" w:lineRule="auto"/>
        <w:jc w:val="center"/>
        <w:outlineLvl w:val="1"/>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第三部分  专用条件</w:t>
      </w:r>
    </w:p>
    <w:p w14:paraId="34F6DCE9">
      <w:pPr>
        <w:adjustRightInd w:val="0"/>
        <w:snapToGrid w:val="0"/>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1. 定义与解释</w:t>
      </w:r>
    </w:p>
    <w:p w14:paraId="7D85A3E4">
      <w:pPr>
        <w:adjustRightInd w:val="0"/>
        <w:snapToGrid w:val="0"/>
        <w:spacing w:line="360" w:lineRule="auto"/>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1.2  解释</w:t>
      </w:r>
    </w:p>
    <w:p w14:paraId="0AED6C73">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1.2.1 本合同文件除使用中文外，还可用</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51662CC0">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1.2.2 约定本合同文件的解释顺序为：</w:t>
      </w:r>
      <w:r>
        <w:rPr>
          <w:rFonts w:hint="eastAsia" w:ascii="仿宋" w:hAnsi="仿宋" w:eastAsia="仿宋" w:cs="仿宋"/>
          <w:color w:val="000000" w:themeColor="text1"/>
          <w:sz w:val="24"/>
          <w:u w:val="single"/>
          <w14:textFill>
            <w14:solidFill>
              <w14:schemeClr w14:val="tx1"/>
            </w14:solidFill>
          </w14:textFill>
        </w:rPr>
        <w:t xml:space="preserve"> 1.协议书;2.中标通知书(适用于招标工程)或委托书(适用于非招标工程);3.招标文件;4.投标文件(适用于招标工程)或监理与相关服务建议书(适用于非招标工程);5.专用条件;6.用条件 </w:t>
      </w:r>
      <w:r>
        <w:rPr>
          <w:rFonts w:hint="eastAsia" w:ascii="仿宋" w:hAnsi="仿宋" w:eastAsia="仿宋" w:cs="仿宋"/>
          <w:color w:val="000000" w:themeColor="text1"/>
          <w:sz w:val="24"/>
          <w14:textFill>
            <w14:solidFill>
              <w14:schemeClr w14:val="tx1"/>
            </w14:solidFill>
          </w14:textFill>
        </w:rPr>
        <w:t>。</w:t>
      </w:r>
    </w:p>
    <w:p w14:paraId="57CFABB3">
      <w:pPr>
        <w:adjustRightInd w:val="0"/>
        <w:snapToGrid w:val="0"/>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 监理人义务</w:t>
      </w:r>
    </w:p>
    <w:p w14:paraId="54FAC5B9">
      <w:pPr>
        <w:adjustRightInd w:val="0"/>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 监理的范围和</w:t>
      </w:r>
      <w:r>
        <w:rPr>
          <w:rFonts w:hint="eastAsia" w:ascii="仿宋" w:hAnsi="仿宋" w:eastAsia="仿宋" w:cs="仿宋"/>
          <w:bCs/>
          <w:color w:val="000000" w:themeColor="text1"/>
          <w:sz w:val="24"/>
          <w14:textFill>
            <w14:solidFill>
              <w14:schemeClr w14:val="tx1"/>
            </w14:solidFill>
          </w14:textFill>
        </w:rPr>
        <w:t>内容</w:t>
      </w:r>
    </w:p>
    <w:p w14:paraId="33801FED">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 监理范围包括：</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55559925">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2.1.2 监理工作内容还包括：</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4FE0F64F">
      <w:pPr>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 监理与相关服务依据</w:t>
      </w:r>
    </w:p>
    <w:p w14:paraId="045614B0">
      <w:pPr>
        <w:adjustRightInd w:val="0"/>
        <w:snapToGrid w:val="0"/>
        <w:spacing w:line="360" w:lineRule="auto"/>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2.2.1 监理依据包括：</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75644B32">
      <w:pPr>
        <w:adjustRightInd w:val="0"/>
        <w:snapToGrid w:val="0"/>
        <w:spacing w:line="360" w:lineRule="auto"/>
        <w:ind w:firstLine="480" w:firstLineChars="200"/>
        <w:rPr>
          <w:rFonts w:hint="eastAsia" w:ascii="仿宋" w:hAnsi="仿宋" w:eastAsia="仿宋" w:cs="仿宋"/>
          <w:dstrike/>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2.2.2 相关服务依据包括：</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23A5C443">
      <w:pPr>
        <w:spacing w:line="360" w:lineRule="auto"/>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2.3</w:t>
      </w:r>
      <w:r>
        <w:rPr>
          <w:rFonts w:hint="eastAsia" w:ascii="仿宋" w:hAnsi="仿宋" w:eastAsia="仿宋" w:cs="仿宋"/>
          <w:color w:val="000000" w:themeColor="text1"/>
          <w:kern w:val="0"/>
          <w:sz w:val="24"/>
          <w14:textFill>
            <w14:solidFill>
              <w14:schemeClr w14:val="tx1"/>
            </w14:solidFill>
          </w14:textFill>
        </w:rPr>
        <w:t>项目监理机构和人员</w:t>
      </w:r>
    </w:p>
    <w:p w14:paraId="29670500">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2.3.4 </w:t>
      </w:r>
      <w:r>
        <w:rPr>
          <w:rFonts w:hint="eastAsia" w:ascii="仿宋" w:hAnsi="仿宋" w:eastAsia="仿宋" w:cs="仿宋"/>
          <w:color w:val="000000" w:themeColor="text1"/>
          <w:kern w:val="0"/>
          <w:sz w:val="24"/>
          <w14:textFill>
            <w14:solidFill>
              <w14:schemeClr w14:val="tx1"/>
            </w14:solidFill>
          </w14:textFill>
        </w:rPr>
        <w:t>更换监理人员的其他情形：</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w:t>
      </w:r>
    </w:p>
    <w:p w14:paraId="70378F7D">
      <w:pPr>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2.4 </w:t>
      </w:r>
      <w:r>
        <w:rPr>
          <w:rFonts w:hint="eastAsia" w:ascii="仿宋" w:hAnsi="仿宋" w:eastAsia="仿宋" w:cs="仿宋"/>
          <w:color w:val="000000" w:themeColor="text1"/>
          <w:kern w:val="0"/>
          <w:sz w:val="24"/>
          <w14:textFill>
            <w14:solidFill>
              <w14:schemeClr w14:val="tx1"/>
            </w14:solidFill>
          </w14:textFill>
        </w:rPr>
        <w:t>履行职责</w:t>
      </w:r>
    </w:p>
    <w:p w14:paraId="1E889AFC">
      <w:pPr>
        <w:adjustRightInd w:val="0"/>
        <w:snapToGrid w:val="0"/>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2.4.3 对监理人的授权范围：</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79AE70A9">
      <w:pPr>
        <w:adjustRightInd w:val="0"/>
        <w:snapToGrid w:val="0"/>
        <w:spacing w:line="360" w:lineRule="auto"/>
        <w:ind w:firstLine="480" w:firstLineChars="200"/>
        <w:outlineLvl w:val="9"/>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在涉及工程延期</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天内和（或）金额</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万元内的变更，监理人不需请示委托人即可向承包人发布变更通知。</w:t>
      </w:r>
    </w:p>
    <w:p w14:paraId="34250FA9">
      <w:pPr>
        <w:adjustRightInd w:val="0"/>
        <w:snapToGrid w:val="0"/>
        <w:spacing w:line="360" w:lineRule="auto"/>
        <w:ind w:firstLine="360" w:firstLineChars="1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2.4.4 监理人有权要求承包人调换其人员</w:t>
      </w:r>
      <w:r>
        <w:rPr>
          <w:rFonts w:hint="eastAsia" w:ascii="仿宋" w:hAnsi="仿宋" w:eastAsia="仿宋" w:cs="仿宋"/>
          <w:color w:val="000000" w:themeColor="text1"/>
          <w:sz w:val="24"/>
          <w14:textFill>
            <w14:solidFill>
              <w14:schemeClr w14:val="tx1"/>
            </w14:solidFill>
          </w14:textFill>
        </w:rPr>
        <w:t>的限制条件：</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0CD6A170">
      <w:pPr>
        <w:adjustRightInd w:val="0"/>
        <w:snapToGrid w:val="0"/>
        <w:spacing w:line="360" w:lineRule="auto"/>
        <w:ind w:firstLine="120" w:firstLineChars="50"/>
        <w:outlineLvl w:val="9"/>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2.5 </w:t>
      </w:r>
      <w:r>
        <w:rPr>
          <w:rFonts w:hint="eastAsia" w:ascii="仿宋" w:hAnsi="仿宋" w:eastAsia="仿宋" w:cs="仿宋"/>
          <w:color w:val="000000" w:themeColor="text1"/>
          <w:sz w:val="24"/>
          <w14:textFill>
            <w14:solidFill>
              <w14:schemeClr w14:val="tx1"/>
            </w14:solidFill>
          </w14:textFill>
        </w:rPr>
        <w:t>提交</w:t>
      </w:r>
      <w:r>
        <w:rPr>
          <w:rFonts w:hint="eastAsia" w:ascii="仿宋" w:hAnsi="仿宋" w:eastAsia="仿宋" w:cs="仿宋"/>
          <w:color w:val="000000" w:themeColor="text1"/>
          <w:kern w:val="0"/>
          <w:sz w:val="24"/>
          <w14:textFill>
            <w14:solidFill>
              <w14:schemeClr w14:val="tx1"/>
            </w14:solidFill>
          </w14:textFill>
        </w:rPr>
        <w:t>报告</w:t>
      </w:r>
    </w:p>
    <w:p w14:paraId="20FBED67">
      <w:pPr>
        <w:adjustRightInd w:val="0"/>
        <w:snapToGrid w:val="0"/>
        <w:spacing w:line="360" w:lineRule="auto"/>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监理人应提交报告的种类(</w:t>
      </w:r>
      <w:r>
        <w:rPr>
          <w:rFonts w:hint="eastAsia" w:ascii="仿宋" w:hAnsi="仿宋" w:eastAsia="仿宋" w:cs="仿宋"/>
          <w:color w:val="000000" w:themeColor="text1"/>
          <w:kern w:val="0"/>
          <w:sz w:val="24"/>
          <w14:textFill>
            <w14:solidFill>
              <w14:schemeClr w14:val="tx1"/>
            </w14:solidFill>
          </w14:textFill>
        </w:rPr>
        <w:t>包括监理规划、监理月报及约定的专项报告)</w:t>
      </w:r>
      <w:r>
        <w:rPr>
          <w:rFonts w:hint="eastAsia" w:ascii="仿宋" w:hAnsi="仿宋" w:eastAsia="仿宋" w:cs="仿宋"/>
          <w:color w:val="000000" w:themeColor="text1"/>
          <w:sz w:val="24"/>
          <w14:textFill>
            <w14:solidFill>
              <w14:schemeClr w14:val="tx1"/>
            </w14:solidFill>
          </w14:textFill>
        </w:rPr>
        <w:t>、时间和份数</w:t>
      </w:r>
      <w:r>
        <w:rPr>
          <w:rFonts w:hint="eastAsia" w:ascii="仿宋" w:hAnsi="仿宋" w:eastAsia="仿宋" w:cs="仿宋"/>
          <w:color w:val="000000" w:themeColor="text1"/>
          <w:kern w:val="0"/>
          <w:sz w:val="24"/>
          <w14:textFill>
            <w14:solidFill>
              <w14:schemeClr w14:val="tx1"/>
            </w14:solidFill>
          </w14:textFill>
        </w:rPr>
        <w:t>：</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7BCF463B">
      <w:pPr>
        <w:spacing w:line="360" w:lineRule="auto"/>
        <w:outlineLvl w:val="9"/>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 2.7 使用委托人的财产</w:t>
      </w:r>
    </w:p>
    <w:p w14:paraId="59C64004">
      <w:pPr>
        <w:spacing w:line="360" w:lineRule="auto"/>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附录B中由委托人无偿提供的房屋、设备的所有权属于：</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2592B997">
      <w:pPr>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监理人应在本合同终止后</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天内移交委托人无偿提供的房屋、设备，移交的时间和方式为：</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08E68B0F">
      <w:pPr>
        <w:adjustRightInd w:val="0"/>
        <w:snapToGrid w:val="0"/>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kern w:val="0"/>
          <w:sz w:val="24"/>
          <w14:textFill>
            <w14:solidFill>
              <w14:schemeClr w14:val="tx1"/>
            </w14:solidFill>
          </w14:textFill>
        </w:rPr>
        <w:t xml:space="preserve">3. 委托人义务  </w:t>
      </w:r>
    </w:p>
    <w:p w14:paraId="0F717094">
      <w:pPr>
        <w:snapToGrid w:val="0"/>
        <w:spacing w:line="360" w:lineRule="auto"/>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3.4 委托人代表</w:t>
      </w:r>
    </w:p>
    <w:p w14:paraId="0DF8A51A">
      <w:pPr>
        <w:adjustRightInd w:val="0"/>
        <w:snapToGrid w:val="0"/>
        <w:spacing w:line="360" w:lineRule="auto"/>
        <w:ind w:firstLine="480" w:firstLineChars="200"/>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委托人代表为：</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16E286ED">
      <w:pPr>
        <w:adjustRightInd w:val="0"/>
        <w:snapToGrid w:val="0"/>
        <w:spacing w:line="360" w:lineRule="auto"/>
        <w:ind w:firstLine="235" w:firstLineChars="98"/>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3.6 答复</w:t>
      </w:r>
    </w:p>
    <w:p w14:paraId="0B5EF995">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委托人同意在</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天内，对监理人书面提交并要求做出决定的事宜给予书面答复。</w:t>
      </w:r>
    </w:p>
    <w:p w14:paraId="5599878B">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4. 违约责任</w:t>
      </w:r>
    </w:p>
    <w:p w14:paraId="7DF1C518">
      <w:pPr>
        <w:spacing w:line="360" w:lineRule="auto"/>
        <w:ind w:left="210" w:left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4.1 监理人的违约责任</w:t>
      </w:r>
    </w:p>
    <w:p w14:paraId="3F23359C">
      <w:pPr>
        <w:adjustRightInd w:val="0"/>
        <w:snapToGrid w:val="0"/>
        <w:spacing w:line="360" w:lineRule="auto"/>
        <w:ind w:firstLine="480" w:firstLineChars="200"/>
        <w:outlineLvl w:val="4"/>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4.1.1监理人赔偿金额按下列方法确定：</w:t>
      </w:r>
    </w:p>
    <w:p w14:paraId="44CC804E">
      <w:pPr>
        <w:adjustRightInd w:val="0"/>
        <w:snapToGrid w:val="0"/>
        <w:spacing w:line="360" w:lineRule="auto"/>
        <w:ind w:firstLine="480" w:firstLineChars="2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赔偿金＝直接经济损失×正常工作酬金÷工程概算</w:t>
      </w:r>
      <w:r>
        <w:rPr>
          <w:rFonts w:hint="eastAsia" w:ascii="仿宋" w:hAnsi="仿宋" w:eastAsia="仿宋" w:cs="仿宋"/>
          <w:color w:val="000000" w:themeColor="text1"/>
          <w:kern w:val="0"/>
          <w:sz w:val="24"/>
          <w14:textFill>
            <w14:solidFill>
              <w14:schemeClr w14:val="tx1"/>
            </w14:solidFill>
          </w14:textFill>
        </w:rPr>
        <w:t>投资额（或建筑安装工程费）</w:t>
      </w:r>
    </w:p>
    <w:p w14:paraId="746319FB">
      <w:pPr>
        <w:snapToGrid w:val="0"/>
        <w:spacing w:line="360" w:lineRule="auto"/>
        <w:ind w:firstLine="240" w:firstLine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4.2 委托人的违约责任</w:t>
      </w:r>
    </w:p>
    <w:p w14:paraId="18E8B6BC">
      <w:pPr>
        <w:spacing w:line="360" w:lineRule="auto"/>
        <w:ind w:firstLine="480" w:firstLineChars="200"/>
        <w:outlineLvl w:val="4"/>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4.2.3 委托人</w:t>
      </w:r>
      <w:r>
        <w:rPr>
          <w:rFonts w:hint="eastAsia" w:ascii="仿宋" w:hAnsi="仿宋" w:eastAsia="仿宋" w:cs="仿宋"/>
          <w:color w:val="000000" w:themeColor="text1"/>
          <w:kern w:val="0"/>
          <w:sz w:val="24"/>
          <w14:textFill>
            <w14:solidFill>
              <w14:schemeClr w14:val="tx1"/>
            </w14:solidFill>
          </w14:textFill>
        </w:rPr>
        <w:t>逾期付款利息按下列方法确定：</w:t>
      </w:r>
    </w:p>
    <w:p w14:paraId="32B70A36">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逾期付款利息＝当期应付款总额×银行同期贷款利率×拖延支付天数</w:t>
      </w:r>
    </w:p>
    <w:p w14:paraId="330F9122">
      <w:pPr>
        <w:snapToGrid w:val="0"/>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5. 支付</w:t>
      </w:r>
    </w:p>
    <w:p w14:paraId="773FA52F">
      <w:pPr>
        <w:snapToGrid w:val="0"/>
        <w:spacing w:line="360" w:lineRule="auto"/>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5.1 </w:t>
      </w:r>
      <w:r>
        <w:rPr>
          <w:rFonts w:hint="eastAsia" w:ascii="仿宋" w:hAnsi="仿宋" w:eastAsia="仿宋" w:cs="仿宋"/>
          <w:bCs/>
          <w:color w:val="000000" w:themeColor="text1"/>
          <w:sz w:val="24"/>
          <w14:textFill>
            <w14:solidFill>
              <w14:schemeClr w14:val="tx1"/>
            </w14:solidFill>
          </w14:textFill>
        </w:rPr>
        <w:t>支付货币</w:t>
      </w:r>
    </w:p>
    <w:p w14:paraId="5FB0E220">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币种为：</w:t>
      </w:r>
      <w:r>
        <w:rPr>
          <w:rFonts w:hint="eastAsia" w:ascii="仿宋" w:hAnsi="仿宋" w:eastAsia="仿宋" w:cs="仿宋"/>
          <w:color w:val="000000" w:themeColor="text1"/>
          <w:sz w:val="24"/>
          <w:u w:val="single"/>
          <w14:textFill>
            <w14:solidFill>
              <w14:schemeClr w14:val="tx1"/>
            </w14:solidFill>
          </w14:textFill>
        </w:rPr>
        <w:t xml:space="preserve"> 人民币 </w:t>
      </w:r>
      <w:r>
        <w:rPr>
          <w:rFonts w:hint="eastAsia" w:ascii="仿宋" w:hAnsi="仿宋" w:eastAsia="仿宋" w:cs="仿宋"/>
          <w:color w:val="000000" w:themeColor="text1"/>
          <w:sz w:val="24"/>
          <w14:textFill>
            <w14:solidFill>
              <w14:schemeClr w14:val="tx1"/>
            </w14:solidFill>
          </w14:textFill>
        </w:rPr>
        <w:t>，比例为：</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，汇率为：</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 xml:space="preserve">。 </w:t>
      </w:r>
    </w:p>
    <w:p w14:paraId="1FDFCEC0">
      <w:pPr>
        <w:snapToGrid w:val="0"/>
        <w:spacing w:line="360" w:lineRule="auto"/>
        <w:ind w:firstLine="240" w:firstLineChars="100"/>
        <w:outlineLvl w:val="3"/>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5.3 支付酬金</w:t>
      </w:r>
    </w:p>
    <w:p w14:paraId="680B6F85">
      <w:pPr>
        <w:snapToGrid w:val="0"/>
        <w:spacing w:line="360" w:lineRule="auto"/>
        <w:ind w:firstLine="480" w:firstLineChars="200"/>
        <w:outlineLvl w:val="2"/>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u w:val="single"/>
          <w14:textFill>
            <w14:solidFill>
              <w14:schemeClr w14:val="tx1"/>
            </w14:solidFill>
          </w14:textFill>
        </w:rPr>
        <w:t xml:space="preserve">  （由甲乙双方商议决定）  </w:t>
      </w:r>
    </w:p>
    <w:p w14:paraId="19C21E01">
      <w:pPr>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6</w:t>
      </w:r>
      <w:r>
        <w:rPr>
          <w:rFonts w:hint="eastAsia" w:ascii="仿宋" w:hAnsi="仿宋" w:eastAsia="仿宋" w:cs="仿宋"/>
          <w:b/>
          <w:bCs/>
          <w:color w:val="000000" w:themeColor="text1"/>
          <w:sz w:val="24"/>
          <w14:textFill>
            <w14:solidFill>
              <w14:schemeClr w14:val="tx1"/>
            </w14:solidFill>
          </w14:textFill>
        </w:rPr>
        <w:t>. 合同生效、变更、暂停、解除与终止</w:t>
      </w:r>
    </w:p>
    <w:p w14:paraId="4705DA4A">
      <w:pPr>
        <w:adjustRightInd w:val="0"/>
        <w:snapToGrid w:val="0"/>
        <w:spacing w:line="360" w:lineRule="auto"/>
        <w:ind w:firstLine="240" w:firstLineChars="100"/>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6.1 生效</w:t>
      </w:r>
    </w:p>
    <w:p w14:paraId="46941F20">
      <w:pPr>
        <w:adjustRightInd w:val="0"/>
        <w:snapToGrid w:val="0"/>
        <w:spacing w:line="360" w:lineRule="auto"/>
        <w:ind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本合同生效条件：</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3B7AEB16">
      <w:pPr>
        <w:adjustRightInd w:val="0"/>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 变更</w:t>
      </w:r>
    </w:p>
    <w:p w14:paraId="75998A5F">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6.2.2 除不可抗力外， 因非监理人原因导致本合同期限延长时，附加工作酬金按下列方法确定：</w:t>
      </w:r>
    </w:p>
    <w:p w14:paraId="1E5E677C">
      <w:pPr>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附加工作</w:t>
      </w:r>
      <w:r>
        <w:rPr>
          <w:rFonts w:hint="eastAsia" w:ascii="仿宋" w:hAnsi="仿宋" w:eastAsia="仿宋" w:cs="仿宋"/>
          <w:color w:val="000000" w:themeColor="text1"/>
          <w:sz w:val="24"/>
          <w14:textFill>
            <w14:solidFill>
              <w14:schemeClr w14:val="tx1"/>
            </w14:solidFill>
          </w14:textFill>
        </w:rPr>
        <w:t>酬金</w:t>
      </w:r>
      <w:r>
        <w:rPr>
          <w:rFonts w:hint="eastAsia" w:ascii="仿宋" w:hAnsi="仿宋" w:eastAsia="仿宋" w:cs="仿宋"/>
          <w:color w:val="000000" w:themeColor="text1"/>
          <w:kern w:val="0"/>
          <w:sz w:val="24"/>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本合同期限延长</w:t>
      </w:r>
      <w:r>
        <w:rPr>
          <w:rFonts w:hint="eastAsia" w:ascii="仿宋" w:hAnsi="仿宋" w:eastAsia="仿宋" w:cs="仿宋"/>
          <w:color w:val="000000" w:themeColor="text1"/>
          <w:kern w:val="0"/>
          <w:sz w:val="24"/>
          <w14:textFill>
            <w14:solidFill>
              <w14:schemeClr w14:val="tx1"/>
            </w14:solidFill>
          </w14:textFill>
        </w:rPr>
        <w:t>时间（天）×正常工作酬金÷</w:t>
      </w:r>
      <w:r>
        <w:rPr>
          <w:rFonts w:hint="eastAsia" w:ascii="仿宋" w:hAnsi="仿宋" w:eastAsia="仿宋" w:cs="仿宋"/>
          <w:color w:val="000000" w:themeColor="text1"/>
          <w:sz w:val="24"/>
          <w14:textFill>
            <w14:solidFill>
              <w14:schemeClr w14:val="tx1"/>
            </w14:solidFill>
          </w14:textFill>
        </w:rPr>
        <w:t>协议书约定的监理与相关服务期限</w:t>
      </w:r>
      <w:r>
        <w:rPr>
          <w:rFonts w:hint="eastAsia" w:ascii="仿宋" w:hAnsi="仿宋" w:eastAsia="仿宋" w:cs="仿宋"/>
          <w:color w:val="000000" w:themeColor="text1"/>
          <w:kern w:val="0"/>
          <w:sz w:val="24"/>
          <w14:textFill>
            <w14:solidFill>
              <w14:schemeClr w14:val="tx1"/>
            </w14:solidFill>
          </w14:textFill>
        </w:rPr>
        <w:t>（天）</w:t>
      </w:r>
    </w:p>
    <w:p w14:paraId="26B4B506">
      <w:pPr>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6.2.3附加工作酬金按下列方法确定：</w:t>
      </w:r>
    </w:p>
    <w:p w14:paraId="7D916AC3">
      <w:pPr>
        <w:snapToGrid w:val="0"/>
        <w:spacing w:line="360" w:lineRule="auto"/>
        <w:ind w:firstLine="480" w:firstLineChars="20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附加工作</w:t>
      </w:r>
      <w:r>
        <w:rPr>
          <w:rFonts w:hint="eastAsia" w:ascii="仿宋" w:hAnsi="仿宋" w:eastAsia="仿宋" w:cs="仿宋"/>
          <w:color w:val="000000" w:themeColor="text1"/>
          <w:sz w:val="24"/>
          <w14:textFill>
            <w14:solidFill>
              <w14:schemeClr w14:val="tx1"/>
            </w14:solidFill>
          </w14:textFill>
        </w:rPr>
        <w:t>酬金</w:t>
      </w:r>
      <w:r>
        <w:rPr>
          <w:rFonts w:hint="eastAsia" w:ascii="仿宋" w:hAnsi="仿宋" w:eastAsia="仿宋" w:cs="仿宋"/>
          <w:color w:val="000000" w:themeColor="text1"/>
          <w:kern w:val="0"/>
          <w:sz w:val="24"/>
          <w14:textFill>
            <w14:solidFill>
              <w14:schemeClr w14:val="tx1"/>
            </w14:solidFill>
          </w14:textFill>
        </w:rPr>
        <w:t>=善后工作及恢复服务的准备工作时间（天）×正常工作酬金÷</w:t>
      </w:r>
      <w:r>
        <w:rPr>
          <w:rFonts w:hint="eastAsia" w:ascii="仿宋" w:hAnsi="仿宋" w:eastAsia="仿宋" w:cs="仿宋"/>
          <w:color w:val="000000" w:themeColor="text1"/>
          <w:sz w:val="24"/>
          <w14:textFill>
            <w14:solidFill>
              <w14:schemeClr w14:val="tx1"/>
            </w14:solidFill>
          </w14:textFill>
        </w:rPr>
        <w:t>协议书约定的监理与相关服务期限</w:t>
      </w:r>
      <w:r>
        <w:rPr>
          <w:rFonts w:hint="eastAsia" w:ascii="仿宋" w:hAnsi="仿宋" w:eastAsia="仿宋" w:cs="仿宋"/>
          <w:color w:val="000000" w:themeColor="text1"/>
          <w:kern w:val="0"/>
          <w:sz w:val="24"/>
          <w14:textFill>
            <w14:solidFill>
              <w14:schemeClr w14:val="tx1"/>
            </w14:solidFill>
          </w14:textFill>
        </w:rPr>
        <w:t>（天）</w:t>
      </w:r>
    </w:p>
    <w:p w14:paraId="4EB9B4E6">
      <w:pPr>
        <w:adjustRightInd w:val="0"/>
        <w:snapToGrid w:val="0"/>
        <w:spacing w:line="360" w:lineRule="auto"/>
        <w:ind w:firstLine="480" w:firstLineChars="200"/>
        <w:outlineLvl w:val="4"/>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6.2.5 正常工作酬金增加额按下列方法确定： </w:t>
      </w:r>
    </w:p>
    <w:p w14:paraId="455DB159">
      <w:pPr>
        <w:adjustRightInd w:val="0"/>
        <w:snapToGrid w:val="0"/>
        <w:spacing w:line="360" w:lineRule="auto"/>
        <w:ind w:firstLine="480"/>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正常工作酬金增加额</w:t>
      </w:r>
      <w:r>
        <w:rPr>
          <w:rFonts w:hint="eastAsia" w:ascii="仿宋" w:hAnsi="仿宋" w:eastAsia="仿宋" w:cs="仿宋"/>
          <w:color w:val="000000" w:themeColor="text1"/>
          <w:kern w:val="0"/>
          <w:sz w:val="24"/>
          <w14:textFill>
            <w14:solidFill>
              <w14:schemeClr w14:val="tx1"/>
            </w14:solidFill>
          </w14:textFill>
        </w:rPr>
        <w:t>=工程投资额</w:t>
      </w:r>
      <w:r>
        <w:rPr>
          <w:rFonts w:hint="eastAsia" w:ascii="仿宋" w:hAnsi="仿宋" w:eastAsia="仿宋" w:cs="仿宋"/>
          <w:color w:val="000000" w:themeColor="text1"/>
          <w:sz w:val="24"/>
          <w14:textFill>
            <w14:solidFill>
              <w14:schemeClr w14:val="tx1"/>
            </w14:solidFill>
          </w14:textFill>
        </w:rPr>
        <w:t>或建筑安装工程费</w:t>
      </w:r>
      <w:r>
        <w:rPr>
          <w:rFonts w:hint="eastAsia" w:ascii="仿宋" w:hAnsi="仿宋" w:eastAsia="仿宋" w:cs="仿宋"/>
          <w:color w:val="000000" w:themeColor="text1"/>
          <w:kern w:val="0"/>
          <w:sz w:val="24"/>
          <w14:textFill>
            <w14:solidFill>
              <w14:schemeClr w14:val="tx1"/>
            </w14:solidFill>
          </w14:textFill>
        </w:rPr>
        <w:t>增加额×正常工作酬金÷工程概算投资额（或建筑安装工程费）</w:t>
      </w:r>
    </w:p>
    <w:p w14:paraId="36697C59">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6.2.6 因工程规模、监理范围的变化导致监理人的正常工作量减少时，按减少工作量的比例从协议书约定的正常工作酬金中扣减相同比例的酬金。</w:t>
      </w:r>
    </w:p>
    <w:p w14:paraId="07D43415">
      <w:pPr>
        <w:snapToGrid w:val="0"/>
        <w:spacing w:line="360" w:lineRule="auto"/>
        <w:outlineLvl w:val="2"/>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7. 争议解决</w:t>
      </w:r>
    </w:p>
    <w:p w14:paraId="72DEC39F">
      <w:pPr>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7.2 </w:t>
      </w:r>
      <w:r>
        <w:rPr>
          <w:rFonts w:hint="eastAsia" w:ascii="仿宋" w:hAnsi="仿宋" w:eastAsia="仿宋" w:cs="仿宋"/>
          <w:bCs/>
          <w:color w:val="000000" w:themeColor="text1"/>
          <w:sz w:val="24"/>
          <w14:textFill>
            <w14:solidFill>
              <w14:schemeClr w14:val="tx1"/>
            </w14:solidFill>
          </w14:textFill>
        </w:rPr>
        <w:t>调解</w:t>
      </w:r>
    </w:p>
    <w:p w14:paraId="67039B3A">
      <w:pPr>
        <w:snapToGrid w:val="0"/>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本合同争议进行调解时，可提交</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进行调解。</w:t>
      </w:r>
    </w:p>
    <w:p w14:paraId="1066F2A4">
      <w:pPr>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7.3 </w:t>
      </w:r>
      <w:r>
        <w:rPr>
          <w:rFonts w:hint="eastAsia" w:ascii="仿宋" w:hAnsi="仿宋" w:eastAsia="仿宋" w:cs="仿宋"/>
          <w:bCs/>
          <w:color w:val="000000" w:themeColor="text1"/>
          <w:sz w:val="24"/>
          <w14:textFill>
            <w14:solidFill>
              <w14:schemeClr w14:val="tx1"/>
            </w14:solidFill>
          </w14:textFill>
        </w:rPr>
        <w:t>仲裁或诉讼</w:t>
      </w:r>
    </w:p>
    <w:p w14:paraId="587726A3">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合同争议的最终解决方式为下列第</w:t>
      </w:r>
      <w:r>
        <w:rPr>
          <w:rFonts w:hint="eastAsia" w:ascii="仿宋" w:hAnsi="仿宋" w:eastAsia="仿宋" w:cs="仿宋"/>
          <w:color w:val="000000" w:themeColor="text1"/>
          <w:sz w:val="24"/>
          <w:u w:val="single"/>
          <w14:textFill>
            <w14:solidFill>
              <w14:schemeClr w14:val="tx1"/>
            </w14:solidFill>
          </w14:textFill>
        </w:rPr>
        <w:t xml:space="preserve">    (2)    </w:t>
      </w:r>
      <w:r>
        <w:rPr>
          <w:rFonts w:hint="eastAsia" w:ascii="仿宋" w:hAnsi="仿宋" w:eastAsia="仿宋" w:cs="仿宋"/>
          <w:color w:val="000000" w:themeColor="text1"/>
          <w:sz w:val="24"/>
          <w14:textFill>
            <w14:solidFill>
              <w14:schemeClr w14:val="tx1"/>
            </w14:solidFill>
          </w14:textFill>
        </w:rPr>
        <w:t>种方式：</w:t>
      </w:r>
    </w:p>
    <w:p w14:paraId="6E1229BB">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（1）提请</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仲裁委员会进行仲裁。</w:t>
      </w:r>
    </w:p>
    <w:p w14:paraId="49D7E810">
      <w:pPr>
        <w:adjustRightInd w:val="0"/>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（2）向</w:t>
      </w:r>
      <w:r>
        <w:rPr>
          <w:rFonts w:hint="eastAsia" w:ascii="仿宋" w:hAnsi="仿宋" w:eastAsia="仿宋" w:cs="仿宋"/>
          <w:color w:val="000000" w:themeColor="text1"/>
          <w:sz w:val="24"/>
          <w:u w:val="single"/>
          <w14:textFill>
            <w14:solidFill>
              <w14:schemeClr w14:val="tx1"/>
            </w14:solidFill>
          </w14:textFill>
        </w:rPr>
        <w:t xml:space="preserve"> 项目所在地 </w:t>
      </w:r>
      <w:r>
        <w:rPr>
          <w:rFonts w:hint="eastAsia" w:ascii="仿宋" w:hAnsi="仿宋" w:eastAsia="仿宋" w:cs="仿宋"/>
          <w:color w:val="000000" w:themeColor="text1"/>
          <w:sz w:val="24"/>
          <w14:textFill>
            <w14:solidFill>
              <w14:schemeClr w14:val="tx1"/>
            </w14:solidFill>
          </w14:textFill>
        </w:rPr>
        <w:t>人民法院提起诉讼。</w:t>
      </w:r>
    </w:p>
    <w:p w14:paraId="7AEE94D6">
      <w:pPr>
        <w:adjustRightInd w:val="0"/>
        <w:snapToGrid w:val="0"/>
        <w:spacing w:line="360" w:lineRule="auto"/>
        <w:outlineLvl w:val="2"/>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8. 其他</w:t>
      </w:r>
    </w:p>
    <w:p w14:paraId="2DD0CC94">
      <w:pPr>
        <w:adjustRightInd w:val="0"/>
        <w:snapToGrid w:val="0"/>
        <w:spacing w:line="360" w:lineRule="auto"/>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 xml:space="preserve">  </w:t>
      </w:r>
      <w:r>
        <w:rPr>
          <w:rFonts w:hint="eastAsia" w:ascii="仿宋" w:hAnsi="仿宋" w:eastAsia="仿宋" w:cs="仿宋"/>
          <w:bCs/>
          <w:color w:val="000000" w:themeColor="text1"/>
          <w:sz w:val="24"/>
          <w14:textFill>
            <w14:solidFill>
              <w14:schemeClr w14:val="tx1"/>
            </w14:solidFill>
          </w14:textFill>
        </w:rPr>
        <w:t>8.2 检测费用</w:t>
      </w:r>
    </w:p>
    <w:p w14:paraId="3E4526E7">
      <w:pPr>
        <w:adjustRightInd w:val="0"/>
        <w:snapToGrid w:val="0"/>
        <w:spacing w:line="360" w:lineRule="auto"/>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    委托人应在检测工作完成后</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bCs/>
          <w:color w:val="000000" w:themeColor="text1"/>
          <w:sz w:val="24"/>
          <w14:textFill>
            <w14:solidFill>
              <w14:schemeClr w14:val="tx1"/>
            </w14:solidFill>
          </w14:textFill>
        </w:rPr>
        <w:t>天内支付检测费用。</w:t>
      </w:r>
    </w:p>
    <w:p w14:paraId="7DF23D49">
      <w:pPr>
        <w:adjustRightInd w:val="0"/>
        <w:snapToGrid w:val="0"/>
        <w:spacing w:line="360" w:lineRule="auto"/>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  8.3 咨询费用</w:t>
      </w:r>
    </w:p>
    <w:p w14:paraId="512623C3">
      <w:pPr>
        <w:adjustRightInd w:val="0"/>
        <w:snapToGrid w:val="0"/>
        <w:spacing w:line="360" w:lineRule="auto"/>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 xml:space="preserve">    委托人应在咨询工作完成后</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bCs/>
          <w:color w:val="000000" w:themeColor="text1"/>
          <w:sz w:val="24"/>
          <w14:textFill>
            <w14:solidFill>
              <w14:schemeClr w14:val="tx1"/>
            </w14:solidFill>
          </w14:textFill>
        </w:rPr>
        <w:t>天内支付咨询费用。</w:t>
      </w:r>
    </w:p>
    <w:p w14:paraId="3F36CEA0">
      <w:pPr>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8.4 奖励</w:t>
      </w:r>
    </w:p>
    <w:p w14:paraId="34A1A159">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合理化建议的奖励金额按下列方法确定为：</w:t>
      </w:r>
    </w:p>
    <w:p w14:paraId="37B7A947">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奖励金额＝工程投资节省额×奖励金额的比率；</w:t>
      </w:r>
    </w:p>
    <w:p w14:paraId="1BE5C962">
      <w:pPr>
        <w:snapToGrid w:val="0"/>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奖励金额的比率为</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596B7E1B">
      <w:pPr>
        <w:adjustRightInd w:val="0"/>
        <w:snapToGrid w:val="0"/>
        <w:spacing w:line="360" w:lineRule="auto"/>
        <w:ind w:firstLine="235" w:firstLineChars="98"/>
        <w:outlineLvl w:val="3"/>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8.6 保密</w:t>
      </w:r>
    </w:p>
    <w:p w14:paraId="0BD1B2EB">
      <w:pPr>
        <w:adjustRightInd w:val="0"/>
        <w:snapToGrid w:val="0"/>
        <w:spacing w:line="360" w:lineRule="auto"/>
        <w:ind w:firstLine="480" w:firstLineChars="200"/>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委托人申明的保密事项和期限：</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06C9A470">
      <w:pPr>
        <w:adjustRightInd w:val="0"/>
        <w:snapToGrid w:val="0"/>
        <w:spacing w:line="360" w:lineRule="auto"/>
        <w:ind w:firstLine="480" w:firstLineChars="200"/>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监理人申明的保密事项和期限：</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00B5FF9C">
      <w:pPr>
        <w:adjustRightInd w:val="0"/>
        <w:snapToGrid w:val="0"/>
        <w:spacing w:line="360" w:lineRule="auto"/>
        <w:ind w:firstLine="480" w:firstLineChars="200"/>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第三方申明的保密事项和期限：</w:t>
      </w:r>
      <w:r>
        <w:rPr>
          <w:rFonts w:hint="eastAsia" w:ascii="仿宋" w:hAnsi="仿宋" w:eastAsia="仿宋" w:cs="仿宋"/>
          <w:color w:val="000000" w:themeColor="text1"/>
          <w:sz w:val="24"/>
          <w:u w:val="single"/>
          <w14:textFill>
            <w14:solidFill>
              <w14:schemeClr w14:val="tx1"/>
            </w14:solidFill>
          </w14:textFill>
        </w:rPr>
        <w:t xml:space="preserve">           /              </w:t>
      </w:r>
      <w:r>
        <w:rPr>
          <w:rFonts w:hint="eastAsia" w:ascii="仿宋" w:hAnsi="仿宋" w:eastAsia="仿宋" w:cs="仿宋"/>
          <w:color w:val="000000" w:themeColor="text1"/>
          <w:sz w:val="24"/>
          <w14:textFill>
            <w14:solidFill>
              <w14:schemeClr w14:val="tx1"/>
            </w14:solidFill>
          </w14:textFill>
        </w:rPr>
        <w:t>。</w:t>
      </w:r>
    </w:p>
    <w:p w14:paraId="611BA982">
      <w:pPr>
        <w:snapToGrid w:val="0"/>
        <w:spacing w:line="360" w:lineRule="auto"/>
        <w:ind w:firstLine="235" w:firstLineChars="98"/>
        <w:outlineLvl w:val="3"/>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8.8</w:t>
      </w:r>
      <w:r>
        <w:rPr>
          <w:rFonts w:hint="eastAsia" w:ascii="仿宋" w:hAnsi="仿宋" w:eastAsia="仿宋" w:cs="仿宋"/>
          <w:bCs/>
          <w:color w:val="000000" w:themeColor="text1"/>
          <w:sz w:val="24"/>
          <w14:textFill>
            <w14:solidFill>
              <w14:schemeClr w14:val="tx1"/>
            </w14:solidFill>
          </w14:textFill>
        </w:rPr>
        <w:t>著作权</w:t>
      </w:r>
    </w:p>
    <w:p w14:paraId="7D42D603">
      <w:pPr>
        <w:adjustRightInd w:val="0"/>
        <w:snapToGrid w:val="0"/>
        <w:spacing w:before="120" w:beforeLines="50" w:after="120" w:afterLines="50"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监理人在本合同履行期间及本合同终止后两年内出版涉及本工程的有关监理与相关服务的资料的限制条件：</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489646A7">
      <w:pPr>
        <w:adjustRightInd w:val="0"/>
        <w:snapToGrid w:val="0"/>
        <w:spacing w:before="120" w:beforeLines="50" w:after="120" w:afterLines="50" w:line="360" w:lineRule="auto"/>
        <w:ind w:firstLine="240" w:firstLineChars="100"/>
        <w:outlineLvl w:val="2"/>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9. 补充条款</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w:t>
      </w:r>
    </w:p>
    <w:p w14:paraId="61FF6541">
      <w:pPr>
        <w:pStyle w:val="2"/>
        <w:keepNext/>
        <w:keepLines/>
        <w:pageBreakBefore w:val="0"/>
        <w:widowControl/>
        <w:kinsoku/>
        <w:wordWrap/>
        <w:overflowPunct/>
        <w:topLinePunct w:val="0"/>
        <w:autoSpaceDE/>
        <w:autoSpaceDN/>
        <w:bidi w:val="0"/>
        <w:adjustRightInd/>
        <w:snapToGrid/>
        <w:spacing w:before="240" w:after="240"/>
        <w:jc w:val="both"/>
        <w:textAlignment w:val="auto"/>
        <w:outlineLvl w:val="9"/>
        <w:rPr>
          <w:rFonts w:hint="eastAsia" w:ascii="仿宋" w:hAnsi="仿宋" w:eastAsia="仿宋" w:cs="仿宋"/>
          <w:color w:val="000000" w:themeColor="text1"/>
          <w:sz w:val="36"/>
          <w:szCs w:val="36"/>
          <w:lang w:val="zh-CN"/>
          <w14:textFill>
            <w14:solidFill>
              <w14:schemeClr w14:val="tx1"/>
            </w14:solidFill>
          </w14:textFill>
        </w:rPr>
        <w:sectPr>
          <w:footerReference r:id="rId6" w:type="default"/>
          <w:pgSz w:w="11906" w:h="16838"/>
          <w:pgMar w:top="1440" w:right="1080" w:bottom="1440" w:left="1080" w:header="851" w:footer="992" w:gutter="0"/>
          <w:pgNumType w:fmt="decimal" w:start="1"/>
          <w:cols w:space="720" w:num="1"/>
          <w:docGrid w:type="lines" w:linePitch="312" w:charSpace="0"/>
        </w:sectPr>
      </w:pPr>
    </w:p>
    <w:p w14:paraId="458D3C52">
      <w:pPr>
        <w:pStyle w:val="2"/>
        <w:keepNext/>
        <w:keepLines/>
        <w:pageBreakBefore w:val="0"/>
        <w:widowControl/>
        <w:kinsoku/>
        <w:wordWrap/>
        <w:overflowPunct/>
        <w:topLinePunct w:val="0"/>
        <w:autoSpaceDE/>
        <w:autoSpaceDN/>
        <w:bidi w:val="0"/>
        <w:adjustRightInd/>
        <w:snapToGrid/>
        <w:spacing w:before="240" w:after="240"/>
        <w:textAlignment w:val="auto"/>
        <w:rPr>
          <w:rFonts w:hint="eastAsia" w:ascii="仿宋" w:hAnsi="仿宋" w:eastAsia="仿宋" w:cs="仿宋"/>
          <w:color w:val="000000" w:themeColor="text1"/>
          <w:sz w:val="36"/>
          <w:szCs w:val="36"/>
          <w:lang w:val="zh-CN"/>
          <w14:textFill>
            <w14:solidFill>
              <w14:schemeClr w14:val="tx1"/>
            </w14:solidFill>
          </w14:textFill>
        </w:rPr>
      </w:pPr>
      <w:bookmarkStart w:id="359" w:name="_Toc19650"/>
      <w:bookmarkStart w:id="360" w:name="_Toc18959"/>
      <w:r>
        <w:rPr>
          <w:rFonts w:hint="eastAsia" w:ascii="仿宋" w:hAnsi="仿宋" w:eastAsia="仿宋" w:cs="仿宋"/>
          <w:color w:val="000000" w:themeColor="text1"/>
          <w:sz w:val="36"/>
          <w:szCs w:val="36"/>
          <w:lang w:val="zh-CN"/>
          <w14:textFill>
            <w14:solidFill>
              <w14:schemeClr w14:val="tx1"/>
            </w14:solidFill>
          </w14:textFill>
        </w:rPr>
        <w:t>第四章  响应文件格式</w:t>
      </w:r>
      <w:bookmarkEnd w:id="357"/>
      <w:bookmarkEnd w:id="358"/>
      <w:bookmarkEnd w:id="359"/>
      <w:bookmarkEnd w:id="360"/>
    </w:p>
    <w:p w14:paraId="2A78E8D1">
      <w:pPr>
        <w:jc w:val="center"/>
        <w:rPr>
          <w:rFonts w:hint="eastAsia" w:ascii="仿宋" w:hAnsi="仿宋" w:eastAsia="仿宋" w:cs="仿宋"/>
          <w:b/>
          <w:bCs/>
          <w:snapToGrid/>
          <w:color w:val="000000" w:themeColor="text1"/>
          <w:kern w:val="2"/>
          <w:sz w:val="48"/>
          <w:szCs w:val="48"/>
          <w14:textFill>
            <w14:solidFill>
              <w14:schemeClr w14:val="tx1"/>
            </w14:solidFill>
          </w14:textFill>
        </w:rPr>
      </w:pPr>
    </w:p>
    <w:p w14:paraId="524075A9">
      <w:pPr>
        <w:widowControl/>
        <w:spacing w:line="720" w:lineRule="auto"/>
        <w:jc w:val="center"/>
        <w:outlineLvl w:val="9"/>
        <w:rPr>
          <w:rFonts w:hint="eastAsia" w:ascii="仿宋" w:hAnsi="仿宋" w:eastAsia="仿宋" w:cs="仿宋"/>
          <w:b/>
          <w:bCs/>
          <w:color w:val="000000" w:themeColor="text1"/>
          <w:sz w:val="48"/>
          <w:szCs w:val="48"/>
          <w:lang w:eastAsia="zh-CN"/>
          <w14:textFill>
            <w14:solidFill>
              <w14:schemeClr w14:val="tx1"/>
            </w14:solidFill>
          </w14:textFill>
        </w:rPr>
      </w:pPr>
      <w:r>
        <w:rPr>
          <w:rFonts w:hint="eastAsia" w:ascii="仿宋" w:hAnsi="仿宋" w:eastAsia="仿宋" w:cs="仿宋"/>
          <w:b/>
          <w:bCs/>
          <w:color w:val="000000" w:themeColor="text1"/>
          <w:sz w:val="48"/>
          <w:szCs w:val="48"/>
          <w:lang w:eastAsia="zh-CN"/>
          <w14:textFill>
            <w14:solidFill>
              <w14:schemeClr w14:val="tx1"/>
            </w14:solidFill>
          </w14:textFill>
        </w:rPr>
        <w:t>国家重点生态功能区景洪市南昆河流域农村生活污水治理工程监理服务</w:t>
      </w:r>
    </w:p>
    <w:p w14:paraId="658237FB">
      <w:pPr>
        <w:widowControl/>
        <w:spacing w:line="720" w:lineRule="auto"/>
        <w:jc w:val="center"/>
        <w:rPr>
          <w:rFonts w:hint="eastAsia" w:ascii="仿宋" w:hAnsi="仿宋" w:eastAsia="仿宋" w:cs="仿宋"/>
          <w:b/>
          <w:bCs/>
          <w:color w:val="000000" w:themeColor="text1"/>
          <w:sz w:val="52"/>
          <w:szCs w:val="52"/>
          <w:lang w:eastAsia="zh-CN"/>
          <w14:textFill>
            <w14:solidFill>
              <w14:schemeClr w14:val="tx1"/>
            </w14:solidFill>
          </w14:textFill>
        </w:rPr>
      </w:pPr>
    </w:p>
    <w:p w14:paraId="0829F873">
      <w:pPr>
        <w:widowControl/>
        <w:spacing w:line="720" w:lineRule="auto"/>
        <w:jc w:val="center"/>
        <w:rPr>
          <w:rFonts w:hint="eastAsia" w:ascii="仿宋" w:hAnsi="仿宋" w:eastAsia="仿宋" w:cs="仿宋"/>
          <w:b/>
          <w:snapToGrid/>
          <w:color w:val="000000" w:themeColor="text1"/>
          <w:kern w:val="0"/>
          <w:sz w:val="72"/>
          <w:szCs w:val="72"/>
          <w14:textFill>
            <w14:solidFill>
              <w14:schemeClr w14:val="tx1"/>
            </w14:solidFill>
          </w14:textFill>
        </w:rPr>
      </w:pPr>
    </w:p>
    <w:p w14:paraId="2CD910E8">
      <w:pPr>
        <w:widowControl/>
        <w:spacing w:line="720" w:lineRule="auto"/>
        <w:jc w:val="center"/>
        <w:rPr>
          <w:rFonts w:hint="eastAsia" w:ascii="仿宋" w:hAnsi="仿宋" w:eastAsia="仿宋" w:cs="仿宋"/>
          <w:b/>
          <w:snapToGrid/>
          <w:color w:val="000000" w:themeColor="text1"/>
          <w:kern w:val="0"/>
          <w:sz w:val="72"/>
          <w:szCs w:val="72"/>
          <w14:textFill>
            <w14:solidFill>
              <w14:schemeClr w14:val="tx1"/>
            </w14:solidFill>
          </w14:textFill>
        </w:rPr>
      </w:pPr>
      <w:r>
        <w:rPr>
          <w:rFonts w:hint="eastAsia" w:ascii="仿宋" w:hAnsi="仿宋" w:eastAsia="仿宋" w:cs="仿宋"/>
          <w:b/>
          <w:snapToGrid/>
          <w:color w:val="000000" w:themeColor="text1"/>
          <w:kern w:val="0"/>
          <w:sz w:val="72"/>
          <w:szCs w:val="72"/>
          <w14:textFill>
            <w14:solidFill>
              <w14:schemeClr w14:val="tx1"/>
            </w14:solidFill>
          </w14:textFill>
        </w:rPr>
        <w:t>响 应 文 件</w:t>
      </w:r>
    </w:p>
    <w:p w14:paraId="1834A7C8">
      <w:pPr>
        <w:widowControl/>
        <w:spacing w:line="720" w:lineRule="auto"/>
        <w:jc w:val="center"/>
        <w:rPr>
          <w:rFonts w:hint="eastAsia" w:ascii="仿宋" w:hAnsi="仿宋" w:eastAsia="仿宋" w:cs="仿宋"/>
          <w:b/>
          <w:snapToGrid/>
          <w:color w:val="000000" w:themeColor="text1"/>
          <w:kern w:val="0"/>
          <w:sz w:val="28"/>
          <w:szCs w:val="28"/>
          <w:lang w:eastAsia="zh-CN"/>
          <w14:textFill>
            <w14:solidFill>
              <w14:schemeClr w14:val="tx1"/>
            </w14:solidFill>
          </w14:textFill>
        </w:rPr>
      </w:pPr>
      <w:r>
        <w:rPr>
          <w:rFonts w:hint="eastAsia" w:ascii="仿宋" w:hAnsi="仿宋" w:eastAsia="仿宋" w:cs="仿宋"/>
          <w:b/>
          <w:snapToGrid/>
          <w:color w:val="000000" w:themeColor="text1"/>
          <w:kern w:val="0"/>
          <w:sz w:val="28"/>
          <w:szCs w:val="28"/>
          <w14:textFill>
            <w14:solidFill>
              <w14:schemeClr w14:val="tx1"/>
            </w14:solidFill>
          </w14:textFill>
        </w:rPr>
        <w:t>项目编号：YNZZBN202503-08</w:t>
      </w:r>
    </w:p>
    <w:p w14:paraId="158BD0D9">
      <w:pPr>
        <w:pStyle w:val="19"/>
        <w:spacing w:line="500" w:lineRule="exact"/>
        <w:jc w:val="center"/>
        <w:rPr>
          <w:rFonts w:hint="eastAsia" w:ascii="仿宋" w:hAnsi="仿宋" w:eastAsia="仿宋" w:cs="仿宋"/>
          <w:b/>
          <w:color w:val="000000" w:themeColor="text1"/>
          <w:sz w:val="28"/>
          <w:szCs w:val="28"/>
          <w14:textFill>
            <w14:solidFill>
              <w14:schemeClr w14:val="tx1"/>
            </w14:solidFill>
          </w14:textFill>
        </w:rPr>
      </w:pPr>
    </w:p>
    <w:p w14:paraId="4A8EB0C2">
      <w:pPr>
        <w:rPr>
          <w:rFonts w:hint="eastAsia" w:ascii="仿宋" w:hAnsi="仿宋" w:eastAsia="仿宋" w:cs="仿宋"/>
          <w:color w:val="000000" w:themeColor="text1"/>
          <w14:textFill>
            <w14:solidFill>
              <w14:schemeClr w14:val="tx1"/>
            </w14:solidFill>
          </w14:textFill>
        </w:rPr>
      </w:pPr>
    </w:p>
    <w:p w14:paraId="1A6BF90D">
      <w:pPr>
        <w:pStyle w:val="19"/>
        <w:spacing w:line="500" w:lineRule="exact"/>
        <w:rPr>
          <w:rFonts w:hint="eastAsia" w:ascii="仿宋" w:hAnsi="仿宋" w:eastAsia="仿宋" w:cs="仿宋"/>
          <w:b/>
          <w:color w:val="000000" w:themeColor="text1"/>
          <w:sz w:val="72"/>
          <w:szCs w:val="72"/>
          <w14:textFill>
            <w14:solidFill>
              <w14:schemeClr w14:val="tx1"/>
            </w14:solidFill>
          </w14:textFill>
        </w:rPr>
      </w:pPr>
    </w:p>
    <w:p w14:paraId="10488B2F">
      <w:pPr>
        <w:pStyle w:val="51"/>
        <w:rPr>
          <w:rFonts w:hint="eastAsia" w:ascii="仿宋" w:hAnsi="仿宋" w:eastAsia="仿宋" w:cs="仿宋"/>
          <w:b/>
          <w:color w:val="000000" w:themeColor="text1"/>
          <w:sz w:val="72"/>
          <w:szCs w:val="72"/>
          <w14:textFill>
            <w14:solidFill>
              <w14:schemeClr w14:val="tx1"/>
            </w14:solidFill>
          </w14:textFill>
        </w:rPr>
      </w:pPr>
    </w:p>
    <w:p w14:paraId="1E384E2D">
      <w:pPr>
        <w:rPr>
          <w:rFonts w:hint="eastAsia" w:ascii="仿宋" w:hAnsi="仿宋" w:eastAsia="仿宋" w:cs="仿宋"/>
          <w:color w:val="000000" w:themeColor="text1"/>
          <w14:textFill>
            <w14:solidFill>
              <w14:schemeClr w14:val="tx1"/>
            </w14:solidFill>
          </w14:textFill>
        </w:rPr>
      </w:pPr>
    </w:p>
    <w:p w14:paraId="4AABDE6D">
      <w:pPr>
        <w:rPr>
          <w:rFonts w:hint="eastAsia" w:ascii="仿宋" w:hAnsi="仿宋" w:eastAsia="仿宋" w:cs="仿宋"/>
          <w:color w:val="000000" w:themeColor="text1"/>
          <w14:textFill>
            <w14:solidFill>
              <w14:schemeClr w14:val="tx1"/>
            </w14:solidFill>
          </w14:textFill>
        </w:rPr>
      </w:pPr>
    </w:p>
    <w:p w14:paraId="0032B0DB">
      <w:pPr>
        <w:rPr>
          <w:rFonts w:hint="eastAsia" w:ascii="仿宋" w:hAnsi="仿宋" w:eastAsia="仿宋" w:cs="仿宋"/>
          <w:color w:val="000000" w:themeColor="text1"/>
          <w14:textFill>
            <w14:solidFill>
              <w14:schemeClr w14:val="tx1"/>
            </w14:solidFill>
          </w14:textFill>
        </w:rPr>
      </w:pPr>
    </w:p>
    <w:p w14:paraId="28BA08AF">
      <w:pPr>
        <w:rPr>
          <w:rFonts w:hint="eastAsia" w:ascii="仿宋" w:hAnsi="仿宋" w:eastAsia="仿宋" w:cs="仿宋"/>
          <w:color w:val="000000" w:themeColor="text1"/>
          <w14:textFill>
            <w14:solidFill>
              <w14:schemeClr w14:val="tx1"/>
            </w14:solidFill>
          </w14:textFill>
        </w:rPr>
      </w:pPr>
    </w:p>
    <w:p w14:paraId="6A3DD533">
      <w:pPr>
        <w:widowControl/>
        <w:spacing w:line="480" w:lineRule="auto"/>
        <w:jc w:val="center"/>
        <w:rPr>
          <w:rFonts w:hint="eastAsia" w:ascii="仿宋" w:hAnsi="仿宋" w:eastAsia="仿宋" w:cs="仿宋"/>
          <w:snapToGrid/>
          <w:color w:val="000000" w:themeColor="text1"/>
          <w:kern w:val="0"/>
          <w:sz w:val="30"/>
          <w:szCs w:val="30"/>
          <w14:textFill>
            <w14:solidFill>
              <w14:schemeClr w14:val="tx1"/>
            </w14:solidFill>
          </w14:textFill>
        </w:rPr>
      </w:pPr>
      <w:r>
        <w:rPr>
          <w:rFonts w:hint="eastAsia" w:ascii="仿宋" w:hAnsi="仿宋" w:eastAsia="仿宋" w:cs="仿宋"/>
          <w:snapToGrid/>
          <w:color w:val="000000" w:themeColor="text1"/>
          <w:kern w:val="0"/>
          <w:sz w:val="30"/>
          <w:szCs w:val="30"/>
          <w14:textFill>
            <w14:solidFill>
              <w14:schemeClr w14:val="tx1"/>
            </w14:solidFill>
          </w14:textFill>
        </w:rPr>
        <w:t>供应商：</w:t>
      </w:r>
      <w:r>
        <w:rPr>
          <w:rFonts w:hint="eastAsia" w:ascii="仿宋" w:hAnsi="仿宋" w:eastAsia="仿宋" w:cs="仿宋"/>
          <w:snapToGrid/>
          <w:color w:val="000000" w:themeColor="text1"/>
          <w:kern w:val="0"/>
          <w:sz w:val="30"/>
          <w:szCs w:val="30"/>
          <w:u w:val="single"/>
          <w14:textFill>
            <w14:solidFill>
              <w14:schemeClr w14:val="tx1"/>
            </w14:solidFill>
          </w14:textFill>
        </w:rPr>
        <w:t xml:space="preserve">                                </w:t>
      </w:r>
      <w:r>
        <w:rPr>
          <w:rFonts w:hint="eastAsia" w:ascii="仿宋" w:hAnsi="仿宋" w:eastAsia="仿宋" w:cs="仿宋"/>
          <w:snapToGrid/>
          <w:color w:val="000000" w:themeColor="text1"/>
          <w:kern w:val="0"/>
          <w:sz w:val="30"/>
          <w:szCs w:val="30"/>
          <w14:textFill>
            <w14:solidFill>
              <w14:schemeClr w14:val="tx1"/>
            </w14:solidFill>
          </w14:textFill>
        </w:rPr>
        <w:t>（加盖公章）</w:t>
      </w:r>
    </w:p>
    <w:p w14:paraId="703FFD67">
      <w:pPr>
        <w:widowControl/>
        <w:spacing w:line="480" w:lineRule="auto"/>
        <w:ind w:firstLine="900" w:firstLineChars="300"/>
        <w:jc w:val="both"/>
        <w:rPr>
          <w:rFonts w:hint="eastAsia" w:ascii="仿宋" w:hAnsi="仿宋" w:eastAsia="仿宋" w:cs="仿宋"/>
          <w:snapToGrid/>
          <w:color w:val="000000" w:themeColor="text1"/>
          <w:kern w:val="0"/>
          <w:sz w:val="30"/>
          <w:szCs w:val="30"/>
          <w14:textFill>
            <w14:solidFill>
              <w14:schemeClr w14:val="tx1"/>
            </w14:solidFill>
          </w14:textFill>
        </w:rPr>
      </w:pPr>
      <w:r>
        <w:rPr>
          <w:rFonts w:hint="eastAsia" w:ascii="仿宋" w:hAnsi="仿宋" w:eastAsia="仿宋" w:cs="仿宋"/>
          <w:snapToGrid/>
          <w:color w:val="000000" w:themeColor="text1"/>
          <w:kern w:val="0"/>
          <w:sz w:val="30"/>
          <w:szCs w:val="30"/>
          <w14:textFill>
            <w14:solidFill>
              <w14:schemeClr w14:val="tx1"/>
            </w14:solidFill>
          </w14:textFill>
        </w:rPr>
        <w:t>法定代表人或委托代理人：</w:t>
      </w:r>
      <w:r>
        <w:rPr>
          <w:rFonts w:hint="eastAsia" w:ascii="仿宋" w:hAnsi="仿宋" w:eastAsia="仿宋" w:cs="仿宋"/>
          <w:snapToGrid/>
          <w:color w:val="000000" w:themeColor="text1"/>
          <w:kern w:val="0"/>
          <w:sz w:val="30"/>
          <w:szCs w:val="30"/>
          <w:u w:val="single"/>
          <w14:textFill>
            <w14:solidFill>
              <w14:schemeClr w14:val="tx1"/>
            </w14:solidFill>
          </w14:textFill>
        </w:rPr>
        <w:t xml:space="preserve">                </w:t>
      </w:r>
      <w:r>
        <w:rPr>
          <w:rFonts w:hint="eastAsia" w:ascii="仿宋" w:hAnsi="仿宋" w:eastAsia="仿宋" w:cs="仿宋"/>
          <w:snapToGrid/>
          <w:color w:val="000000" w:themeColor="text1"/>
          <w:kern w:val="0"/>
          <w:sz w:val="30"/>
          <w:szCs w:val="30"/>
          <w14:textFill>
            <w14:solidFill>
              <w14:schemeClr w14:val="tx1"/>
            </w14:solidFill>
          </w14:textFill>
        </w:rPr>
        <w:t>（签字）</w:t>
      </w:r>
    </w:p>
    <w:p w14:paraId="0B4D6ACA">
      <w:pPr>
        <w:widowControl/>
        <w:spacing w:line="480" w:lineRule="auto"/>
        <w:jc w:val="center"/>
        <w:rPr>
          <w:rFonts w:hint="eastAsia" w:ascii="仿宋" w:hAnsi="仿宋" w:eastAsia="仿宋" w:cs="仿宋"/>
          <w:snapToGrid/>
          <w:color w:val="000000" w:themeColor="text1"/>
          <w:kern w:val="0"/>
          <w:sz w:val="30"/>
          <w:szCs w:val="30"/>
          <w14:textFill>
            <w14:solidFill>
              <w14:schemeClr w14:val="tx1"/>
            </w14:solidFill>
          </w14:textFill>
        </w:rPr>
      </w:pPr>
      <w:r>
        <w:rPr>
          <w:rFonts w:hint="eastAsia" w:ascii="仿宋" w:hAnsi="仿宋" w:eastAsia="仿宋" w:cs="仿宋"/>
          <w:snapToGrid/>
          <w:color w:val="000000" w:themeColor="text1"/>
          <w:kern w:val="0"/>
          <w:sz w:val="30"/>
          <w:szCs w:val="30"/>
          <w:u w:val="single"/>
          <w14:textFill>
            <w14:solidFill>
              <w14:schemeClr w14:val="tx1"/>
            </w14:solidFill>
          </w14:textFill>
        </w:rPr>
        <w:t xml:space="preserve">      </w:t>
      </w:r>
      <w:r>
        <w:rPr>
          <w:rFonts w:hint="eastAsia" w:ascii="仿宋" w:hAnsi="仿宋" w:eastAsia="仿宋" w:cs="仿宋"/>
          <w:snapToGrid/>
          <w:color w:val="000000" w:themeColor="text1"/>
          <w:kern w:val="0"/>
          <w:sz w:val="30"/>
          <w:szCs w:val="30"/>
          <w14:textFill>
            <w14:solidFill>
              <w14:schemeClr w14:val="tx1"/>
            </w14:solidFill>
          </w14:textFill>
        </w:rPr>
        <w:t>年</w:t>
      </w:r>
      <w:r>
        <w:rPr>
          <w:rFonts w:hint="eastAsia" w:ascii="仿宋" w:hAnsi="仿宋" w:eastAsia="仿宋" w:cs="仿宋"/>
          <w:snapToGrid/>
          <w:color w:val="000000" w:themeColor="text1"/>
          <w:kern w:val="0"/>
          <w:sz w:val="30"/>
          <w:szCs w:val="30"/>
          <w:u w:val="single"/>
          <w14:textFill>
            <w14:solidFill>
              <w14:schemeClr w14:val="tx1"/>
            </w14:solidFill>
          </w14:textFill>
        </w:rPr>
        <w:t xml:space="preserve">   </w:t>
      </w:r>
      <w:r>
        <w:rPr>
          <w:rFonts w:hint="eastAsia" w:ascii="仿宋" w:hAnsi="仿宋" w:eastAsia="仿宋" w:cs="仿宋"/>
          <w:snapToGrid/>
          <w:color w:val="000000" w:themeColor="text1"/>
          <w:kern w:val="0"/>
          <w:sz w:val="30"/>
          <w:szCs w:val="30"/>
          <w14:textFill>
            <w14:solidFill>
              <w14:schemeClr w14:val="tx1"/>
            </w14:solidFill>
          </w14:textFill>
        </w:rPr>
        <w:t>月</w:t>
      </w:r>
      <w:r>
        <w:rPr>
          <w:rFonts w:hint="eastAsia" w:ascii="仿宋" w:hAnsi="仿宋" w:eastAsia="仿宋" w:cs="仿宋"/>
          <w:snapToGrid/>
          <w:color w:val="000000" w:themeColor="text1"/>
          <w:kern w:val="0"/>
          <w:sz w:val="30"/>
          <w:szCs w:val="30"/>
          <w:u w:val="single"/>
          <w14:textFill>
            <w14:solidFill>
              <w14:schemeClr w14:val="tx1"/>
            </w14:solidFill>
          </w14:textFill>
        </w:rPr>
        <w:t xml:space="preserve">   </w:t>
      </w:r>
      <w:r>
        <w:rPr>
          <w:rFonts w:hint="eastAsia" w:ascii="仿宋" w:hAnsi="仿宋" w:eastAsia="仿宋" w:cs="仿宋"/>
          <w:snapToGrid/>
          <w:color w:val="000000" w:themeColor="text1"/>
          <w:kern w:val="0"/>
          <w:sz w:val="30"/>
          <w:szCs w:val="30"/>
          <w14:textFill>
            <w14:solidFill>
              <w14:schemeClr w14:val="tx1"/>
            </w14:solidFill>
          </w14:textFill>
        </w:rPr>
        <w:t>日</w:t>
      </w:r>
    </w:p>
    <w:p w14:paraId="10B41A5A">
      <w:pPr>
        <w:rPr>
          <w:rFonts w:hint="eastAsia" w:ascii="仿宋" w:hAnsi="仿宋" w:eastAsia="仿宋" w:cs="仿宋"/>
          <w:b/>
          <w:color w:val="000000" w:themeColor="text1"/>
          <w:kern w:val="0"/>
          <w:sz w:val="28"/>
          <w:szCs w:val="28"/>
          <w14:textFill>
            <w14:solidFill>
              <w14:schemeClr w14:val="tx1"/>
            </w14:solidFill>
          </w14:textFill>
        </w:rPr>
      </w:pPr>
      <w:bookmarkStart w:id="361" w:name="_Toc6496657"/>
      <w:bookmarkStart w:id="362" w:name="_Toc491307345"/>
      <w:bookmarkStart w:id="363" w:name="_Toc491307283"/>
      <w:bookmarkStart w:id="364" w:name="_Toc494043329"/>
      <w:bookmarkStart w:id="365" w:name="_Toc491307465"/>
      <w:r>
        <w:rPr>
          <w:rFonts w:hint="eastAsia" w:ascii="仿宋" w:hAnsi="仿宋" w:eastAsia="仿宋" w:cs="仿宋"/>
          <w:b/>
          <w:color w:val="000000" w:themeColor="text1"/>
          <w:kern w:val="0"/>
          <w:sz w:val="28"/>
          <w:szCs w:val="28"/>
          <w14:textFill>
            <w14:solidFill>
              <w14:schemeClr w14:val="tx1"/>
            </w14:solidFill>
          </w14:textFill>
        </w:rPr>
        <w:br w:type="page"/>
      </w:r>
    </w:p>
    <w:p w14:paraId="13C112C1">
      <w:pPr>
        <w:jc w:val="center"/>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t>目  录</w:t>
      </w:r>
    </w:p>
    <w:p w14:paraId="3BCBAC9C">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一、磋商报价一览表</w:t>
      </w:r>
    </w:p>
    <w:p w14:paraId="26535013">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二、磋商申请函</w:t>
      </w:r>
    </w:p>
    <w:p w14:paraId="6D8FFCD3">
      <w:pPr>
        <w:pStyle w:val="36"/>
        <w:ind w:firstLine="300"/>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三、</w:t>
      </w:r>
      <w:r>
        <w:rPr>
          <w:rFonts w:hint="eastAsia" w:ascii="仿宋" w:hAnsi="仿宋" w:eastAsia="仿宋" w:cs="仿宋"/>
          <w:color w:val="000000" w:themeColor="text1"/>
          <w:kern w:val="0"/>
          <w:sz w:val="28"/>
          <w:szCs w:val="28"/>
          <w:lang w:eastAsia="zh-CN"/>
          <w14:textFill>
            <w14:solidFill>
              <w14:schemeClr w14:val="tx1"/>
            </w14:solidFill>
          </w14:textFill>
        </w:rPr>
        <w:t>供应商相关证件及资料</w:t>
      </w:r>
    </w:p>
    <w:p w14:paraId="0B9274A6">
      <w:pPr>
        <w:pStyle w:val="36"/>
        <w:ind w:firstLine="300"/>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四、</w:t>
      </w:r>
      <w:r>
        <w:rPr>
          <w:rFonts w:hint="eastAsia" w:ascii="仿宋" w:hAnsi="仿宋" w:eastAsia="仿宋" w:cs="仿宋"/>
          <w:color w:val="000000" w:themeColor="text1"/>
          <w:kern w:val="0"/>
          <w:sz w:val="28"/>
          <w:szCs w:val="28"/>
          <w:lang w:eastAsia="zh-CN"/>
          <w14:textFill>
            <w14:solidFill>
              <w14:schemeClr w14:val="tx1"/>
            </w14:solidFill>
          </w14:textFill>
        </w:rPr>
        <w:t>法定代表人身份证明书</w:t>
      </w:r>
    </w:p>
    <w:p w14:paraId="6A977A61">
      <w:pPr>
        <w:pStyle w:val="36"/>
        <w:ind w:firstLine="300"/>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五、</w:t>
      </w:r>
      <w:r>
        <w:rPr>
          <w:rFonts w:hint="eastAsia" w:ascii="仿宋" w:hAnsi="仿宋" w:eastAsia="仿宋" w:cs="仿宋"/>
          <w:color w:val="000000" w:themeColor="text1"/>
          <w:kern w:val="0"/>
          <w:sz w:val="28"/>
          <w:szCs w:val="28"/>
          <w:lang w:eastAsia="zh-CN"/>
          <w14:textFill>
            <w14:solidFill>
              <w14:schemeClr w14:val="tx1"/>
            </w14:solidFill>
          </w14:textFill>
        </w:rPr>
        <w:t>法定代表人授权委托书</w:t>
      </w:r>
    </w:p>
    <w:p w14:paraId="5B6CAADB">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六、落实政府采购政策需提供的证明材料</w:t>
      </w:r>
    </w:p>
    <w:p w14:paraId="5C9B36A2">
      <w:pPr>
        <w:pStyle w:val="36"/>
        <w:ind w:firstLine="300"/>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七、</w:t>
      </w:r>
      <w:r>
        <w:rPr>
          <w:rFonts w:hint="eastAsia" w:ascii="仿宋" w:hAnsi="仿宋" w:eastAsia="仿宋" w:cs="仿宋"/>
          <w:color w:val="000000" w:themeColor="text1"/>
          <w:kern w:val="0"/>
          <w:sz w:val="28"/>
          <w:szCs w:val="28"/>
          <w:lang w:eastAsia="zh-CN"/>
          <w14:textFill>
            <w14:solidFill>
              <w14:schemeClr w14:val="tx1"/>
            </w14:solidFill>
          </w14:textFill>
        </w:rPr>
        <w:t>供应商基本情况表</w:t>
      </w:r>
    </w:p>
    <w:p w14:paraId="5312919E">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lang w:eastAsia="zh-CN"/>
          <w14:textFill>
            <w14:solidFill>
              <w14:schemeClr w14:val="tx1"/>
            </w14:solidFill>
          </w14:textFill>
        </w:rPr>
        <w:t>八、</w:t>
      </w:r>
      <w:r>
        <w:rPr>
          <w:rFonts w:hint="eastAsia" w:ascii="仿宋" w:hAnsi="仿宋" w:eastAsia="仿宋" w:cs="仿宋"/>
          <w:color w:val="000000" w:themeColor="text1"/>
          <w:kern w:val="0"/>
          <w:sz w:val="28"/>
          <w:szCs w:val="28"/>
          <w14:textFill>
            <w14:solidFill>
              <w14:schemeClr w14:val="tx1"/>
            </w14:solidFill>
          </w14:textFill>
        </w:rPr>
        <w:t>商务条款偏离表</w:t>
      </w:r>
    </w:p>
    <w:p w14:paraId="47008C55">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lang w:eastAsia="zh-CN"/>
          <w14:textFill>
            <w14:solidFill>
              <w14:schemeClr w14:val="tx1"/>
            </w14:solidFill>
          </w14:textFill>
        </w:rPr>
        <w:t>九、</w:t>
      </w:r>
      <w:r>
        <w:rPr>
          <w:rFonts w:hint="eastAsia" w:ascii="仿宋" w:hAnsi="仿宋" w:eastAsia="仿宋" w:cs="仿宋"/>
          <w:color w:val="000000" w:themeColor="text1"/>
          <w:kern w:val="0"/>
          <w:sz w:val="28"/>
          <w:szCs w:val="28"/>
          <w14:textFill>
            <w14:solidFill>
              <w14:schemeClr w14:val="tx1"/>
            </w14:solidFill>
          </w14:textFill>
        </w:rPr>
        <w:t>技术部分</w:t>
      </w:r>
    </w:p>
    <w:p w14:paraId="6B7E8AAA">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lang w:eastAsia="zh-CN"/>
          <w14:textFill>
            <w14:solidFill>
              <w14:schemeClr w14:val="tx1"/>
            </w14:solidFill>
          </w14:textFill>
        </w:rPr>
        <w:t>十</w:t>
      </w:r>
      <w:r>
        <w:rPr>
          <w:rFonts w:hint="eastAsia" w:ascii="仿宋" w:hAnsi="仿宋" w:eastAsia="仿宋" w:cs="仿宋"/>
          <w:color w:val="000000" w:themeColor="text1"/>
          <w:kern w:val="0"/>
          <w:sz w:val="28"/>
          <w:szCs w:val="28"/>
          <w14:textFill>
            <w14:solidFill>
              <w14:schemeClr w14:val="tx1"/>
            </w14:solidFill>
          </w14:textFill>
        </w:rPr>
        <w:t>、商务部分</w:t>
      </w:r>
    </w:p>
    <w:p w14:paraId="10573931">
      <w:pPr>
        <w:pStyle w:val="36"/>
        <w:ind w:firstLine="3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lang w:eastAsia="zh-CN"/>
          <w14:textFill>
            <w14:solidFill>
              <w14:schemeClr w14:val="tx1"/>
            </w14:solidFill>
          </w14:textFill>
        </w:rPr>
        <w:t>十一</w:t>
      </w:r>
      <w:r>
        <w:rPr>
          <w:rFonts w:hint="eastAsia" w:ascii="仿宋" w:hAnsi="仿宋" w:eastAsia="仿宋" w:cs="仿宋"/>
          <w:color w:val="000000" w:themeColor="text1"/>
          <w:kern w:val="0"/>
          <w:sz w:val="28"/>
          <w:szCs w:val="28"/>
          <w14:textFill>
            <w14:solidFill>
              <w14:schemeClr w14:val="tx1"/>
            </w14:solidFill>
          </w14:textFill>
        </w:rPr>
        <w:t>、竞争性磋商文件要求或供应商认为有必要提交的其他资料</w:t>
      </w:r>
    </w:p>
    <w:p w14:paraId="652A7BEA">
      <w:pPr>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br w:type="page"/>
      </w:r>
    </w:p>
    <w:bookmarkEnd w:id="361"/>
    <w:bookmarkEnd w:id="362"/>
    <w:bookmarkEnd w:id="363"/>
    <w:bookmarkEnd w:id="364"/>
    <w:bookmarkEnd w:id="365"/>
    <w:p w14:paraId="677562C8">
      <w:pPr>
        <w:pStyle w:val="3"/>
        <w:keepLines w:val="0"/>
        <w:spacing w:before="240" w:after="240" w:line="360" w:lineRule="auto"/>
        <w:jc w:val="center"/>
        <w:rPr>
          <w:rFonts w:hint="eastAsia" w:ascii="仿宋" w:hAnsi="仿宋" w:eastAsia="仿宋" w:cs="仿宋"/>
          <w:b/>
          <w:bCs w:val="0"/>
          <w:color w:val="000000" w:themeColor="text1"/>
          <w:kern w:val="0"/>
          <w:sz w:val="30"/>
          <w:szCs w:val="30"/>
          <w:lang w:val="en-US"/>
          <w14:textFill>
            <w14:solidFill>
              <w14:schemeClr w14:val="tx1"/>
            </w14:solidFill>
          </w14:textFill>
        </w:rPr>
      </w:pPr>
      <w:bookmarkStart w:id="366" w:name="_Toc494043330"/>
      <w:bookmarkStart w:id="367" w:name="_Toc46924577"/>
      <w:bookmarkStart w:id="368" w:name="_Toc6496658"/>
      <w:bookmarkStart w:id="369" w:name="_Toc491307466"/>
      <w:bookmarkStart w:id="370" w:name="_Toc14835"/>
      <w:bookmarkStart w:id="371" w:name="_Toc491307346"/>
      <w:bookmarkStart w:id="372" w:name="_Toc491307284"/>
      <w:bookmarkStart w:id="373" w:name="_Toc415662825"/>
      <w:bookmarkStart w:id="374" w:name="_Toc347849248"/>
      <w:bookmarkStart w:id="375" w:name="_Toc383175510"/>
      <w:r>
        <w:rPr>
          <w:rFonts w:hint="eastAsia" w:ascii="仿宋" w:hAnsi="仿宋" w:eastAsia="仿宋" w:cs="仿宋"/>
          <w:b/>
          <w:bCs w:val="0"/>
          <w:color w:val="000000" w:themeColor="text1"/>
          <w:kern w:val="0"/>
          <w:sz w:val="30"/>
          <w:szCs w:val="30"/>
          <w:lang w:val="en-US"/>
          <w14:textFill>
            <w14:solidFill>
              <w14:schemeClr w14:val="tx1"/>
            </w14:solidFill>
          </w14:textFill>
        </w:rPr>
        <w:t>一、磋商报价一览表</w:t>
      </w:r>
      <w:bookmarkEnd w:id="366"/>
      <w:bookmarkEnd w:id="367"/>
      <w:bookmarkEnd w:id="368"/>
      <w:bookmarkEnd w:id="369"/>
      <w:bookmarkEnd w:id="370"/>
      <w:bookmarkEnd w:id="371"/>
      <w:bookmarkEnd w:id="372"/>
    </w:p>
    <w:p w14:paraId="6B20CF29">
      <w:pPr>
        <w:autoSpaceDE w:val="0"/>
        <w:autoSpaceDN w:val="0"/>
        <w:adjustRightInd w:val="0"/>
        <w:spacing w:line="360" w:lineRule="auto"/>
        <w:jc w:val="left"/>
        <w:rPr>
          <w:rFonts w:hint="eastAsia" w:ascii="仿宋" w:hAnsi="仿宋" w:eastAsia="仿宋" w:cs="仿宋"/>
          <w:color w:val="000000" w:themeColor="text1"/>
          <w:sz w:val="24"/>
          <w:szCs w:val="32"/>
          <w:lang w:val="en-US" w:eastAsia="zh-CN"/>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项目名称：</w:t>
      </w:r>
      <w:r>
        <w:rPr>
          <w:rFonts w:hint="eastAsia" w:ascii="仿宋" w:hAnsi="仿宋" w:eastAsia="仿宋" w:cs="仿宋"/>
          <w:color w:val="000000" w:themeColor="text1"/>
          <w:sz w:val="24"/>
          <w:szCs w:val="32"/>
          <w:lang w:eastAsia="zh-CN"/>
          <w14:textFill>
            <w14:solidFill>
              <w14:schemeClr w14:val="tx1"/>
            </w14:solidFill>
          </w14:textFill>
        </w:rPr>
        <w:t>国家重点生态功能区景洪市南昆河流域农村生活污水治理工程监理服务</w:t>
      </w:r>
      <w:r>
        <w:rPr>
          <w:rFonts w:hint="eastAsia" w:ascii="仿宋" w:hAnsi="仿宋" w:eastAsia="仿宋" w:cs="仿宋"/>
          <w:color w:val="000000" w:themeColor="text1"/>
          <w:sz w:val="24"/>
          <w:szCs w:val="32"/>
          <w:lang w:val="en-US" w:eastAsia="zh-CN"/>
          <w14:textFill>
            <w14:solidFill>
              <w14:schemeClr w14:val="tx1"/>
            </w14:solidFill>
          </w14:textFill>
        </w:rPr>
        <w:t xml:space="preserve">  </w:t>
      </w:r>
    </w:p>
    <w:p w14:paraId="5318C84D">
      <w:pPr>
        <w:autoSpaceDE w:val="0"/>
        <w:autoSpaceDN w:val="0"/>
        <w:adjustRightInd w:val="0"/>
        <w:spacing w:line="360" w:lineRule="auto"/>
        <w:jc w:val="left"/>
        <w:outlineLvl w:val="9"/>
        <w:rPr>
          <w:rFonts w:hint="eastAsia" w:ascii="仿宋" w:hAnsi="仿宋" w:eastAsia="仿宋" w:cs="仿宋"/>
          <w:bCs/>
          <w:color w:val="000000" w:themeColor="text1"/>
          <w:kern w:val="0"/>
          <w:sz w:val="24"/>
          <w:szCs w:val="24"/>
          <w:u w:val="single"/>
          <w:lang w:eastAsia="zh-CN"/>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项目编号：YNZZBN202503-08</w:t>
      </w:r>
    </w:p>
    <w:tbl>
      <w:tblPr>
        <w:tblStyle w:val="37"/>
        <w:tblW w:w="8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3"/>
        <w:gridCol w:w="6426"/>
      </w:tblGrid>
      <w:tr w14:paraId="33F51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jc w:val="center"/>
        </w:trPr>
        <w:tc>
          <w:tcPr>
            <w:tcW w:w="2063" w:type="dxa"/>
            <w:vAlign w:val="center"/>
          </w:tcPr>
          <w:p w14:paraId="3F4715B3">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lang w:eastAsia="zh-CN"/>
                <w14:textFill>
                  <w14:solidFill>
                    <w14:schemeClr w14:val="tx1"/>
                  </w14:solidFill>
                </w14:textFill>
              </w:rPr>
              <w:t>磋商总报价</w:t>
            </w:r>
            <w:r>
              <w:rPr>
                <w:rFonts w:hint="eastAsia" w:ascii="仿宋" w:hAnsi="仿宋" w:eastAsia="仿宋" w:cs="仿宋"/>
                <w:b/>
                <w:bCs/>
                <w:color w:val="000000" w:themeColor="text1"/>
                <w:sz w:val="24"/>
                <w:szCs w:val="24"/>
                <w:highlight w:val="none"/>
                <w14:textFill>
                  <w14:solidFill>
                    <w14:schemeClr w14:val="tx1"/>
                  </w14:solidFill>
                </w14:textFill>
              </w:rPr>
              <w:t>（元）</w:t>
            </w:r>
          </w:p>
        </w:tc>
        <w:tc>
          <w:tcPr>
            <w:tcW w:w="6426" w:type="dxa"/>
            <w:vAlign w:val="center"/>
          </w:tcPr>
          <w:p w14:paraId="265908A5">
            <w:pPr>
              <w:pageBreakBefore w:val="0"/>
              <w:wordWrap w:val="0"/>
              <w:overflowPunct/>
              <w:spacing w:line="460" w:lineRule="exact"/>
              <w:jc w:val="both"/>
              <w:rPr>
                <w:rFonts w:hint="eastAsia" w:ascii="仿宋" w:hAnsi="仿宋" w:eastAsia="仿宋" w:cs="仿宋"/>
                <w:color w:val="auto"/>
                <w:kern w:val="2"/>
                <w:sz w:val="24"/>
                <w:szCs w:val="24"/>
                <w:highlight w:val="none"/>
                <w:u w:val="single"/>
                <w:lang w:val="en-US" w:eastAsia="zh-CN"/>
              </w:rPr>
            </w:pPr>
            <w:r>
              <w:rPr>
                <w:rFonts w:hint="eastAsia" w:ascii="仿宋" w:hAnsi="仿宋" w:eastAsia="仿宋" w:cs="仿宋"/>
                <w:color w:val="auto"/>
                <w:kern w:val="2"/>
                <w:sz w:val="24"/>
                <w:szCs w:val="24"/>
                <w:highlight w:val="none"/>
                <w:lang w:val="en-US" w:eastAsia="zh-CN"/>
              </w:rPr>
              <w:t>小写：</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2"/>
                <w:sz w:val="24"/>
                <w:szCs w:val="24"/>
                <w:highlight w:val="none"/>
                <w:u w:val="single"/>
                <w:lang w:val="en-US" w:eastAsia="zh-CN"/>
              </w:rPr>
              <w:t xml:space="preserve">                               </w:t>
            </w:r>
            <w:r>
              <w:rPr>
                <w:rFonts w:hint="eastAsia" w:ascii="仿宋" w:hAnsi="仿宋" w:eastAsia="仿宋" w:cs="仿宋"/>
                <w:color w:val="auto"/>
                <w:kern w:val="2"/>
                <w:sz w:val="24"/>
                <w:szCs w:val="24"/>
                <w:highlight w:val="none"/>
                <w:u w:val="none"/>
                <w:lang w:val="en-US" w:eastAsia="zh-CN"/>
              </w:rPr>
              <w:t>元</w:t>
            </w:r>
          </w:p>
          <w:p w14:paraId="4DB26883">
            <w:pPr>
              <w:spacing w:line="360" w:lineRule="auto"/>
              <w:jc w:val="left"/>
              <w:rPr>
                <w:rFonts w:hint="eastAsia" w:ascii="仿宋" w:hAnsi="仿宋" w:eastAsia="仿宋" w:cs="仿宋"/>
                <w:color w:val="auto"/>
                <w:kern w:val="1"/>
                <w:sz w:val="24"/>
                <w:szCs w:val="24"/>
                <w:highlight w:val="none"/>
                <w:lang w:val="en-US" w:eastAsia="zh-CN" w:bidi="ar-SA"/>
              </w:rPr>
            </w:pPr>
          </w:p>
          <w:p w14:paraId="21CD7C38">
            <w:pPr>
              <w:spacing w:line="360" w:lineRule="auto"/>
              <w:jc w:val="left"/>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color w:val="auto"/>
                <w:kern w:val="1"/>
                <w:sz w:val="24"/>
                <w:szCs w:val="24"/>
                <w:highlight w:val="none"/>
                <w:lang w:val="en-US" w:eastAsia="zh-CN" w:bidi="ar-SA"/>
              </w:rPr>
              <w:t>大写：人民币</w:t>
            </w:r>
            <w:r>
              <w:rPr>
                <w:rFonts w:hint="eastAsia" w:ascii="仿宋" w:hAnsi="仿宋" w:eastAsia="仿宋" w:cs="仿宋"/>
                <w:color w:val="auto"/>
                <w:kern w:val="1"/>
                <w:sz w:val="24"/>
                <w:szCs w:val="24"/>
                <w:highlight w:val="none"/>
                <w:u w:val="single"/>
                <w:lang w:val="en-US" w:eastAsia="zh-CN" w:bidi="ar-SA"/>
              </w:rPr>
              <w:t xml:space="preserve">                          </w:t>
            </w:r>
          </w:p>
        </w:tc>
      </w:tr>
      <w:tr w14:paraId="46D52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063" w:type="dxa"/>
            <w:vAlign w:val="center"/>
          </w:tcPr>
          <w:p w14:paraId="73533CBF">
            <w:pPr>
              <w:spacing w:line="360" w:lineRule="auto"/>
              <w:jc w:val="center"/>
              <w:rPr>
                <w:rFonts w:hint="eastAsia" w:ascii="仿宋" w:hAnsi="仿宋" w:eastAsia="仿宋" w:cs="仿宋"/>
                <w:b/>
                <w:bCs/>
                <w:color w:val="000000" w:themeColor="text1"/>
                <w:sz w:val="24"/>
                <w:szCs w:val="24"/>
                <w:highlight w:val="none"/>
                <w:lang w:eastAsia="zh-CN"/>
                <w14:textFill>
                  <w14:solidFill>
                    <w14:schemeClr w14:val="tx1"/>
                  </w14:solidFill>
                </w14:textFill>
              </w:rPr>
            </w:pPr>
            <w:r>
              <w:rPr>
                <w:rFonts w:hint="eastAsia" w:ascii="仿宋" w:hAnsi="仿宋" w:eastAsia="仿宋" w:cs="仿宋"/>
                <w:b/>
                <w:bCs/>
                <w:color w:val="000000" w:themeColor="text1"/>
                <w:sz w:val="24"/>
                <w:szCs w:val="24"/>
                <w:highlight w:val="none"/>
                <w:lang w:eastAsia="zh-CN"/>
                <w14:textFill>
                  <w14:solidFill>
                    <w14:schemeClr w14:val="tx1"/>
                  </w14:solidFill>
                </w14:textFill>
              </w:rPr>
              <w:t>服务期限</w:t>
            </w:r>
          </w:p>
        </w:tc>
        <w:tc>
          <w:tcPr>
            <w:tcW w:w="6426" w:type="dxa"/>
            <w:vAlign w:val="center"/>
          </w:tcPr>
          <w:p w14:paraId="0FE2AE1E">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p>
        </w:tc>
      </w:tr>
      <w:tr w14:paraId="7B8E4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063" w:type="dxa"/>
            <w:vAlign w:val="center"/>
          </w:tcPr>
          <w:p w14:paraId="33778700">
            <w:pPr>
              <w:spacing w:line="360" w:lineRule="auto"/>
              <w:jc w:val="center"/>
              <w:rPr>
                <w:rFonts w:hint="eastAsia" w:ascii="仿宋" w:hAnsi="仿宋" w:eastAsia="仿宋" w:cs="仿宋"/>
                <w:b/>
                <w:bCs/>
                <w:color w:val="000000" w:themeColor="text1"/>
                <w:sz w:val="24"/>
                <w:szCs w:val="24"/>
                <w:highlight w:val="none"/>
                <w:lang w:eastAsia="zh-CN"/>
                <w14:textFill>
                  <w14:solidFill>
                    <w14:schemeClr w14:val="tx1"/>
                  </w14:solidFill>
                </w14:textFill>
              </w:rPr>
            </w:pPr>
            <w:r>
              <w:rPr>
                <w:rFonts w:hint="eastAsia" w:ascii="仿宋" w:hAnsi="仿宋" w:eastAsia="仿宋" w:cs="仿宋"/>
                <w:b/>
                <w:bCs/>
                <w:color w:val="000000" w:themeColor="text1"/>
                <w:sz w:val="24"/>
                <w:szCs w:val="24"/>
                <w:highlight w:val="none"/>
                <w:lang w:eastAsia="zh-CN"/>
                <w14:textFill>
                  <w14:solidFill>
                    <w14:schemeClr w14:val="tx1"/>
                  </w14:solidFill>
                </w14:textFill>
              </w:rPr>
              <w:t xml:space="preserve"> 项目负责人及证书编号</w:t>
            </w:r>
          </w:p>
        </w:tc>
        <w:tc>
          <w:tcPr>
            <w:tcW w:w="6426" w:type="dxa"/>
            <w:vAlign w:val="center"/>
          </w:tcPr>
          <w:p w14:paraId="60E1B845">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p>
        </w:tc>
      </w:tr>
      <w:tr w14:paraId="31FF5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063" w:type="dxa"/>
            <w:vAlign w:val="center"/>
          </w:tcPr>
          <w:p w14:paraId="60D0F536">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质量承诺</w:t>
            </w:r>
          </w:p>
        </w:tc>
        <w:tc>
          <w:tcPr>
            <w:tcW w:w="6426" w:type="dxa"/>
            <w:vAlign w:val="center"/>
          </w:tcPr>
          <w:p w14:paraId="5E891C61">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p>
        </w:tc>
      </w:tr>
      <w:tr w14:paraId="59FF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063" w:type="dxa"/>
            <w:shd w:val="clear" w:color="auto" w:fill="auto"/>
            <w:vAlign w:val="center"/>
          </w:tcPr>
          <w:p w14:paraId="2E585CED">
            <w:pPr>
              <w:pageBreakBefore w:val="0"/>
              <w:wordWrap w:val="0"/>
              <w:overflowPunct/>
              <w:spacing w:line="320" w:lineRule="exact"/>
              <w:jc w:val="center"/>
              <w:rPr>
                <w:rFonts w:hint="eastAsia" w:ascii="仿宋" w:hAnsi="仿宋" w:eastAsia="仿宋" w:cs="仿宋"/>
                <w:snapToGrid w:val="0"/>
                <w:color w:val="auto"/>
                <w:kern w:val="21"/>
                <w:sz w:val="24"/>
                <w:szCs w:val="24"/>
                <w:highlight w:val="none"/>
                <w:lang w:val="en-US" w:eastAsia="zh-CN" w:bidi="ar-SA"/>
              </w:rPr>
            </w:pPr>
            <w:r>
              <w:rPr>
                <w:rFonts w:hint="eastAsia" w:ascii="仿宋" w:hAnsi="仿宋" w:eastAsia="仿宋" w:cs="仿宋"/>
                <w:b/>
                <w:bCs/>
                <w:color w:val="000000" w:themeColor="text1"/>
                <w:sz w:val="24"/>
                <w:szCs w:val="24"/>
                <w:highlight w:val="none"/>
                <w:lang w:eastAsia="zh-CN"/>
                <w14:textFill>
                  <w14:solidFill>
                    <w14:schemeClr w14:val="tx1"/>
                  </w14:solidFill>
                </w14:textFill>
              </w:rPr>
              <w:t>磋商保证金</w:t>
            </w:r>
          </w:p>
        </w:tc>
        <w:tc>
          <w:tcPr>
            <w:tcW w:w="6426" w:type="dxa"/>
            <w:shd w:val="clear" w:color="auto" w:fill="auto"/>
            <w:vAlign w:val="center"/>
          </w:tcPr>
          <w:p w14:paraId="02FF348A">
            <w:pPr>
              <w:pageBreakBefore w:val="0"/>
              <w:wordWrap w:val="0"/>
              <w:overflowPunct/>
              <w:spacing w:before="120" w:line="32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小写：</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元</w:t>
            </w:r>
          </w:p>
          <w:p w14:paraId="668B43BA">
            <w:pPr>
              <w:pageBreakBefore w:val="0"/>
              <w:wordWrap w:val="0"/>
              <w:overflowPunct/>
              <w:spacing w:before="120" w:line="320" w:lineRule="exact"/>
              <w:jc w:val="left"/>
              <w:rPr>
                <w:rFonts w:hint="eastAsia" w:ascii="仿宋" w:hAnsi="仿宋" w:eastAsia="仿宋" w:cs="仿宋"/>
                <w:snapToGrid w:val="0"/>
                <w:color w:val="auto"/>
                <w:kern w:val="21"/>
                <w:sz w:val="24"/>
                <w:szCs w:val="24"/>
                <w:highlight w:val="none"/>
                <w:lang w:val="en-US" w:eastAsia="zh-CN" w:bidi="ar-SA"/>
              </w:rPr>
            </w:pPr>
            <w:r>
              <w:rPr>
                <w:rFonts w:hint="eastAsia" w:ascii="仿宋" w:hAnsi="仿宋" w:eastAsia="仿宋" w:cs="仿宋"/>
                <w:color w:val="auto"/>
                <w:sz w:val="24"/>
                <w:highlight w:val="none"/>
              </w:rPr>
              <w:t>大写：人民币</w:t>
            </w:r>
            <w:r>
              <w:rPr>
                <w:rFonts w:hint="eastAsia" w:ascii="仿宋" w:hAnsi="仿宋" w:eastAsia="仿宋" w:cs="仿宋"/>
                <w:color w:val="auto"/>
                <w:sz w:val="24"/>
                <w:highlight w:val="none"/>
                <w:u w:val="single"/>
              </w:rPr>
              <w:t xml:space="preserve">           </w:t>
            </w:r>
          </w:p>
        </w:tc>
      </w:tr>
      <w:tr w14:paraId="64ABA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2063" w:type="dxa"/>
            <w:tcBorders>
              <w:bottom w:val="single" w:color="auto" w:sz="4" w:space="0"/>
            </w:tcBorders>
            <w:vAlign w:val="center"/>
          </w:tcPr>
          <w:p w14:paraId="58CB7A6B">
            <w:pPr>
              <w:spacing w:line="360" w:lineRule="auto"/>
              <w:jc w:val="center"/>
              <w:rPr>
                <w:rFonts w:hint="eastAsia" w:ascii="仿宋" w:hAnsi="仿宋" w:eastAsia="仿宋" w:cs="仿宋"/>
                <w:b/>
                <w:bCs/>
                <w:color w:val="000000" w:themeColor="text1"/>
                <w:sz w:val="24"/>
                <w:szCs w:val="24"/>
                <w:highlight w:val="none"/>
                <w14:textFill>
                  <w14:solidFill>
                    <w14:schemeClr w14:val="tx1"/>
                  </w14:solidFill>
                </w14:textFill>
              </w:rPr>
            </w:pPr>
            <w:r>
              <w:rPr>
                <w:rFonts w:hint="eastAsia" w:ascii="仿宋" w:hAnsi="仿宋" w:eastAsia="仿宋" w:cs="仿宋"/>
                <w:b/>
                <w:bCs/>
                <w:color w:val="000000" w:themeColor="text1"/>
                <w:sz w:val="24"/>
                <w:szCs w:val="24"/>
                <w:highlight w:val="none"/>
                <w14:textFill>
                  <w14:solidFill>
                    <w14:schemeClr w14:val="tx1"/>
                  </w14:solidFill>
                </w14:textFill>
              </w:rPr>
              <w:t>备  注</w:t>
            </w:r>
          </w:p>
        </w:tc>
        <w:tc>
          <w:tcPr>
            <w:tcW w:w="6426" w:type="dxa"/>
            <w:tcBorders>
              <w:bottom w:val="single" w:color="auto" w:sz="4" w:space="0"/>
            </w:tcBorders>
            <w:vAlign w:val="center"/>
          </w:tcPr>
          <w:p w14:paraId="6483A9EF">
            <w:pPr>
              <w:spacing w:line="360" w:lineRule="auto"/>
              <w:ind w:firstLine="420"/>
              <w:rPr>
                <w:rFonts w:hint="eastAsia" w:ascii="仿宋" w:hAnsi="仿宋" w:eastAsia="仿宋" w:cs="仿宋"/>
                <w:color w:val="000000" w:themeColor="text1"/>
                <w:sz w:val="24"/>
                <w:szCs w:val="24"/>
                <w:highlight w:val="none"/>
                <w14:textFill>
                  <w14:solidFill>
                    <w14:schemeClr w14:val="tx1"/>
                  </w14:solidFill>
                </w14:textFill>
              </w:rPr>
            </w:pPr>
          </w:p>
        </w:tc>
      </w:tr>
    </w:tbl>
    <w:p w14:paraId="5AC238A1">
      <w:pPr>
        <w:autoSpaceDE w:val="0"/>
        <w:autoSpaceDN w:val="0"/>
        <w:adjustRightInd w:val="0"/>
        <w:spacing w:line="360" w:lineRule="auto"/>
        <w:jc w:val="left"/>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highlight w:val="none"/>
          <w14:textFill>
            <w14:solidFill>
              <w14:schemeClr w14:val="tx1"/>
            </w14:solidFill>
          </w14:textFill>
        </w:rPr>
        <w:t>注：</w:t>
      </w:r>
      <w:r>
        <w:rPr>
          <w:rFonts w:hint="eastAsia" w:ascii="仿宋" w:hAnsi="仿宋" w:eastAsia="仿宋" w:cs="仿宋"/>
          <w:b/>
          <w:color w:val="000000" w:themeColor="text1"/>
          <w:kern w:val="0"/>
          <w:szCs w:val="21"/>
          <w:highlight w:val="none"/>
          <w:lang w:val="en-US" w:eastAsia="zh-CN"/>
          <w14:textFill>
            <w14:solidFill>
              <w14:schemeClr w14:val="tx1"/>
            </w14:solidFill>
          </w14:textFill>
        </w:rPr>
        <w:t>此</w:t>
      </w:r>
      <w:r>
        <w:rPr>
          <w:rFonts w:hint="eastAsia" w:ascii="仿宋" w:hAnsi="仿宋" w:eastAsia="仿宋" w:cs="仿宋"/>
          <w:b/>
          <w:color w:val="000000" w:themeColor="text1"/>
          <w:kern w:val="0"/>
          <w:szCs w:val="21"/>
          <w:highlight w:val="none"/>
          <w14:textFill>
            <w14:solidFill>
              <w14:schemeClr w14:val="tx1"/>
            </w14:solidFill>
          </w14:textFill>
        </w:rPr>
        <w:t>报价应是实施该采购范围内所需的全部费用（且含税的完税价）。包括直接费（含人员工资、社会保险、福利、保险、劳保等）、间接费（含规费、企业管理费等）、利润及税金等。</w:t>
      </w:r>
    </w:p>
    <w:p w14:paraId="04240E49">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bookmarkStart w:id="376" w:name="_Toc491307347"/>
      <w:bookmarkStart w:id="377" w:name="_Toc491307467"/>
      <w:bookmarkStart w:id="378" w:name="_Toc491307285"/>
      <w:bookmarkStart w:id="379" w:name="_Toc494043331"/>
      <w:bookmarkStart w:id="380" w:name="_Toc481694845"/>
      <w:bookmarkStart w:id="381" w:name="_Toc488633616"/>
    </w:p>
    <w:p w14:paraId="5CF90FE1">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p>
    <w:p w14:paraId="10D5BB7C">
      <w:pPr>
        <w:pageBreakBefore w:val="0"/>
        <w:kinsoku/>
        <w:wordWrap w:val="0"/>
        <w:topLinePunct w:val="0"/>
        <w:bidi w:val="0"/>
        <w:spacing w:line="360" w:lineRule="auto"/>
        <w:ind w:firstLine="1200" w:firstLineChars="500"/>
        <w:jc w:val="left"/>
        <w:rPr>
          <w:rFonts w:hint="eastAsia" w:ascii="仿宋" w:hAnsi="仿宋" w:eastAsia="仿宋" w:cs="仿宋"/>
          <w:color w:val="auto"/>
          <w:sz w:val="24"/>
          <w:szCs w:val="24"/>
          <w:highlight w:val="none"/>
        </w:rPr>
      </w:pPr>
      <w:r>
        <w:rPr>
          <w:rFonts w:hint="eastAsia" w:ascii="仿宋" w:hAnsi="仿宋" w:eastAsia="仿宋" w:cs="仿宋"/>
          <w:color w:val="auto"/>
          <w:kern w:val="1"/>
          <w:sz w:val="24"/>
          <w:szCs w:val="24"/>
          <w:highlight w:val="none"/>
          <w:lang w:val="en-US" w:eastAsia="zh-CN" w:bidi="ar-SA"/>
        </w:rPr>
        <w:t>供</w:t>
      </w:r>
      <w:r>
        <w:rPr>
          <w:rFonts w:hint="eastAsia" w:ascii="仿宋" w:hAnsi="仿宋" w:eastAsia="仿宋" w:cs="仿宋"/>
          <w:color w:val="auto"/>
          <w:sz w:val="24"/>
          <w:szCs w:val="24"/>
          <w:highlight w:val="none"/>
          <w:lang w:eastAsia="zh-CN"/>
        </w:rPr>
        <w:t>应商</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（盖单位公章）</w:t>
      </w:r>
    </w:p>
    <w:p w14:paraId="41DBD2AE">
      <w:pPr>
        <w:pageBreakBefore w:val="0"/>
        <w:kinsoku/>
        <w:wordWrap w:val="0"/>
        <w:topLinePunct w:val="0"/>
        <w:bidi w:val="0"/>
        <w:spacing w:line="360" w:lineRule="auto"/>
        <w:ind w:firstLine="1200" w:firstLineChars="5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法定代表人或其委托代理人：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 xml:space="preserve">（签字） </w:t>
      </w:r>
    </w:p>
    <w:p w14:paraId="3A0FFFAA">
      <w:pPr>
        <w:pStyle w:val="19"/>
        <w:spacing w:line="480" w:lineRule="auto"/>
        <w:ind w:firstLine="1200" w:firstLineChars="50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auto"/>
          <w:sz w:val="24"/>
          <w:szCs w:val="24"/>
          <w:highlight w:val="none"/>
        </w:rPr>
        <w:t>日  期：</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年</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 xml:space="preserve"> 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日</w:t>
      </w:r>
    </w:p>
    <w:p w14:paraId="66980285">
      <w:pPr>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br w:type="page"/>
      </w:r>
    </w:p>
    <w:bookmarkEnd w:id="376"/>
    <w:bookmarkEnd w:id="377"/>
    <w:bookmarkEnd w:id="378"/>
    <w:bookmarkEnd w:id="379"/>
    <w:p w14:paraId="2BEE1F44">
      <w:pPr>
        <w:pStyle w:val="3"/>
        <w:keepLines w:val="0"/>
        <w:spacing w:before="240" w:after="240" w:line="360" w:lineRule="auto"/>
        <w:jc w:val="center"/>
        <w:rPr>
          <w:rFonts w:hint="eastAsia" w:ascii="仿宋" w:hAnsi="仿宋" w:eastAsia="仿宋" w:cs="仿宋"/>
          <w:b/>
          <w:bCs w:val="0"/>
          <w:color w:val="000000" w:themeColor="text1"/>
          <w:kern w:val="0"/>
          <w:sz w:val="30"/>
          <w:szCs w:val="30"/>
          <w:lang w:val="en-US"/>
          <w14:textFill>
            <w14:solidFill>
              <w14:schemeClr w14:val="tx1"/>
            </w14:solidFill>
          </w14:textFill>
        </w:rPr>
      </w:pPr>
      <w:bookmarkStart w:id="382" w:name="_Toc13164"/>
      <w:bookmarkStart w:id="383" w:name="_Toc494043332"/>
      <w:bookmarkStart w:id="384" w:name="_Toc491307286"/>
      <w:bookmarkStart w:id="385" w:name="_Toc6496659"/>
      <w:bookmarkStart w:id="386" w:name="_Toc491307348"/>
      <w:bookmarkStart w:id="387" w:name="_Toc491307468"/>
      <w:bookmarkStart w:id="388" w:name="_Toc46924578"/>
      <w:r>
        <w:rPr>
          <w:rFonts w:hint="eastAsia" w:ascii="仿宋" w:hAnsi="仿宋" w:eastAsia="仿宋" w:cs="仿宋"/>
          <w:b/>
          <w:bCs w:val="0"/>
          <w:color w:val="000000" w:themeColor="text1"/>
          <w:kern w:val="0"/>
          <w:sz w:val="30"/>
          <w:szCs w:val="30"/>
          <w:lang w:val="en-US"/>
          <w14:textFill>
            <w14:solidFill>
              <w14:schemeClr w14:val="tx1"/>
            </w14:solidFill>
          </w14:textFill>
        </w:rPr>
        <w:t>二、磋商申请函</w:t>
      </w:r>
      <w:bookmarkEnd w:id="380"/>
      <w:bookmarkEnd w:id="381"/>
      <w:bookmarkEnd w:id="382"/>
      <w:bookmarkEnd w:id="383"/>
      <w:bookmarkEnd w:id="384"/>
      <w:bookmarkEnd w:id="385"/>
      <w:bookmarkEnd w:id="386"/>
      <w:bookmarkEnd w:id="387"/>
      <w:bookmarkEnd w:id="388"/>
    </w:p>
    <w:p w14:paraId="01294C7D">
      <w:pPr>
        <w:pStyle w:val="19"/>
        <w:spacing w:line="30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致：</w:t>
      </w:r>
      <w:r>
        <w:rPr>
          <w:rFonts w:hint="eastAsia" w:ascii="仿宋" w:hAnsi="仿宋" w:eastAsia="仿宋" w:cs="仿宋"/>
          <w:color w:val="000000" w:themeColor="text1"/>
          <w:sz w:val="24"/>
          <w:szCs w:val="24"/>
          <w:u w:val="single"/>
          <w14:textFill>
            <w14:solidFill>
              <w14:schemeClr w14:val="tx1"/>
            </w14:solidFill>
          </w14:textFill>
        </w:rPr>
        <w:t>（采购人名称）</w:t>
      </w:r>
    </w:p>
    <w:p w14:paraId="4AD95520">
      <w:pPr>
        <w:pStyle w:val="19"/>
        <w:spacing w:line="30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我方仔细研究了</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（项目名称）（项目编号：</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）竞争性磋商文件的全部内容，正式授权下述签字人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（姓名和职务）全权代表供应商</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（供应商全称）参加磋商，并提交响应文件。</w:t>
      </w:r>
    </w:p>
    <w:p w14:paraId="39DC0E99">
      <w:pPr>
        <w:pStyle w:val="19"/>
        <w:spacing w:line="30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据此函，签字人兹宣布同意如下：</w:t>
      </w:r>
    </w:p>
    <w:p w14:paraId="7DF6E804">
      <w:pPr>
        <w:pStyle w:val="19"/>
        <w:spacing w:line="30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1．按本竞争性磋商文件及采购需求进行报价，并认可</w:t>
      </w:r>
      <w:r>
        <w:rPr>
          <w:rFonts w:hint="eastAsia" w:ascii="仿宋" w:hAnsi="仿宋" w:eastAsia="仿宋" w:cs="仿宋"/>
          <w:color w:val="000000" w:themeColor="text1"/>
          <w:kern w:val="0"/>
          <w:sz w:val="24"/>
          <w:szCs w:val="24"/>
          <w14:textFill>
            <w14:solidFill>
              <w14:schemeClr w14:val="tx1"/>
            </w14:solidFill>
          </w14:textFill>
        </w:rPr>
        <w:t>我方授权人在磋商现场填报的最终磋商报价为成交价</w:t>
      </w:r>
      <w:r>
        <w:rPr>
          <w:rFonts w:hint="eastAsia" w:ascii="仿宋" w:hAnsi="仿宋" w:eastAsia="仿宋" w:cs="仿宋"/>
          <w:color w:val="000000" w:themeColor="text1"/>
          <w:sz w:val="24"/>
          <w:szCs w:val="24"/>
          <w14:textFill>
            <w14:solidFill>
              <w14:schemeClr w14:val="tx1"/>
            </w14:solidFill>
          </w14:textFill>
        </w:rPr>
        <w:t>，并承诺在合同约定的期限内完成全部合同工作</w:t>
      </w:r>
      <w:r>
        <w:rPr>
          <w:rFonts w:hint="eastAsia" w:ascii="仿宋" w:hAnsi="仿宋" w:eastAsia="仿宋" w:cs="仿宋"/>
          <w:color w:val="000000" w:themeColor="text1"/>
          <w:sz w:val="24"/>
          <w:szCs w:val="24"/>
          <w:lang w:eastAsia="zh-CN"/>
          <w14:textFill>
            <w14:solidFill>
              <w14:schemeClr w14:val="tx1"/>
            </w14:solidFill>
          </w14:textFill>
        </w:rPr>
        <w:t>；</w:t>
      </w:r>
    </w:p>
    <w:p w14:paraId="5C4D06B0">
      <w:pPr>
        <w:pStyle w:val="19"/>
        <w:spacing w:line="300" w:lineRule="auto"/>
        <w:ind w:firstLine="480" w:firstLineChars="200"/>
        <w:jc w:val="left"/>
        <w:rPr>
          <w:rFonts w:hint="eastAsia" w:ascii="仿宋" w:hAnsi="仿宋" w:eastAsia="仿宋" w:cs="仿宋"/>
          <w:color w:val="000000" w:themeColor="text1"/>
          <w:spacing w:val="-10"/>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pacing w:val="-10"/>
          <w:sz w:val="24"/>
          <w:szCs w:val="24"/>
          <w14:textFill>
            <w14:solidFill>
              <w14:schemeClr w14:val="tx1"/>
            </w14:solidFill>
          </w14:textFill>
        </w:rPr>
        <w:t>我方已详细审查</w:t>
      </w:r>
      <w:r>
        <w:rPr>
          <w:rFonts w:hint="eastAsia" w:ascii="仿宋" w:hAnsi="仿宋" w:eastAsia="仿宋" w:cs="仿宋"/>
          <w:color w:val="000000" w:themeColor="text1"/>
          <w:sz w:val="24"/>
          <w:szCs w:val="24"/>
          <w14:textFill>
            <w14:solidFill>
              <w14:schemeClr w14:val="tx1"/>
            </w14:solidFill>
          </w14:textFill>
        </w:rPr>
        <w:t>本竞争性</w:t>
      </w:r>
      <w:r>
        <w:rPr>
          <w:rFonts w:hint="eastAsia" w:ascii="仿宋" w:hAnsi="仿宋" w:eastAsia="仿宋" w:cs="仿宋"/>
          <w:color w:val="000000" w:themeColor="text1"/>
          <w:spacing w:val="-10"/>
          <w:sz w:val="24"/>
          <w:szCs w:val="24"/>
          <w14:textFill>
            <w14:solidFill>
              <w14:schemeClr w14:val="tx1"/>
            </w14:solidFill>
          </w14:textFill>
        </w:rPr>
        <w:t>磋商文件的全部内容，包括澄清、修改文件（如果有）。我方完全理解</w:t>
      </w:r>
      <w:r>
        <w:rPr>
          <w:rFonts w:hint="eastAsia" w:ascii="仿宋" w:hAnsi="仿宋" w:eastAsia="仿宋" w:cs="仿宋"/>
          <w:color w:val="000000" w:themeColor="text1"/>
          <w:sz w:val="24"/>
          <w:szCs w:val="24"/>
          <w14:textFill>
            <w14:solidFill>
              <w14:schemeClr w14:val="tx1"/>
            </w14:solidFill>
          </w14:textFill>
        </w:rPr>
        <w:t>本竞争性</w:t>
      </w:r>
      <w:r>
        <w:rPr>
          <w:rFonts w:hint="eastAsia" w:ascii="仿宋" w:hAnsi="仿宋" w:eastAsia="仿宋" w:cs="仿宋"/>
          <w:color w:val="000000" w:themeColor="text1"/>
          <w:spacing w:val="-10"/>
          <w:sz w:val="24"/>
          <w:szCs w:val="24"/>
          <w14:textFill>
            <w14:solidFill>
              <w14:schemeClr w14:val="tx1"/>
            </w14:solidFill>
          </w14:textFill>
        </w:rPr>
        <w:t>磋商文件相关要求，并承担对</w:t>
      </w:r>
      <w:r>
        <w:rPr>
          <w:rFonts w:hint="eastAsia" w:ascii="仿宋" w:hAnsi="仿宋" w:eastAsia="仿宋" w:cs="仿宋"/>
          <w:color w:val="000000" w:themeColor="text1"/>
          <w:sz w:val="24"/>
          <w:szCs w:val="24"/>
          <w14:textFill>
            <w14:solidFill>
              <w14:schemeClr w14:val="tx1"/>
            </w14:solidFill>
          </w14:textFill>
        </w:rPr>
        <w:t>本竞争性</w:t>
      </w:r>
      <w:r>
        <w:rPr>
          <w:rFonts w:hint="eastAsia" w:ascii="仿宋" w:hAnsi="仿宋" w:eastAsia="仿宋" w:cs="仿宋"/>
          <w:color w:val="000000" w:themeColor="text1"/>
          <w:spacing w:val="-10"/>
          <w:sz w:val="24"/>
          <w:szCs w:val="24"/>
          <w14:textFill>
            <w14:solidFill>
              <w14:schemeClr w14:val="tx1"/>
            </w14:solidFill>
          </w14:textFill>
        </w:rPr>
        <w:t>磋商文件有不明及误解的后果</w:t>
      </w:r>
      <w:r>
        <w:rPr>
          <w:rFonts w:hint="eastAsia" w:ascii="仿宋" w:hAnsi="仿宋" w:eastAsia="仿宋" w:cs="仿宋"/>
          <w:color w:val="000000" w:themeColor="text1"/>
          <w:spacing w:val="-10"/>
          <w:sz w:val="24"/>
          <w:szCs w:val="24"/>
          <w:lang w:eastAsia="zh-CN"/>
          <w14:textFill>
            <w14:solidFill>
              <w14:schemeClr w14:val="tx1"/>
            </w14:solidFill>
          </w14:textFill>
        </w:rPr>
        <w:t>；</w:t>
      </w:r>
    </w:p>
    <w:p w14:paraId="04C346C7">
      <w:pPr>
        <w:pStyle w:val="19"/>
        <w:spacing w:line="30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3．在供应商须知规定的提交日期起遵循本竞争性磋商文件，并在供应商须知第3.4.1条规定的响应文件有效期届满之日前均具有约束力</w:t>
      </w:r>
      <w:r>
        <w:rPr>
          <w:rFonts w:hint="eastAsia" w:ascii="仿宋" w:hAnsi="仿宋" w:eastAsia="仿宋" w:cs="仿宋"/>
          <w:color w:val="000000" w:themeColor="text1"/>
          <w:sz w:val="24"/>
          <w:szCs w:val="24"/>
          <w:lang w:eastAsia="zh-CN"/>
          <w14:textFill>
            <w14:solidFill>
              <w14:schemeClr w14:val="tx1"/>
            </w14:solidFill>
          </w14:textFill>
        </w:rPr>
        <w:t>；</w:t>
      </w:r>
    </w:p>
    <w:p w14:paraId="5E1FA509">
      <w:pPr>
        <w:pStyle w:val="19"/>
        <w:spacing w:line="300" w:lineRule="auto"/>
        <w:ind w:firstLine="480" w:firstLineChars="200"/>
        <w:jc w:val="left"/>
        <w:outlineLvl w:val="9"/>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4．同意本竞争性磋商文件中关于没收磋商保证金的规定</w:t>
      </w:r>
      <w:r>
        <w:rPr>
          <w:rFonts w:hint="eastAsia" w:ascii="仿宋" w:hAnsi="仿宋" w:eastAsia="仿宋" w:cs="仿宋"/>
          <w:color w:val="000000" w:themeColor="text1"/>
          <w:sz w:val="24"/>
          <w:szCs w:val="24"/>
          <w:lang w:eastAsia="zh-CN"/>
          <w14:textFill>
            <w14:solidFill>
              <w14:schemeClr w14:val="tx1"/>
            </w14:solidFill>
          </w14:textFill>
        </w:rPr>
        <w:t>；</w:t>
      </w:r>
    </w:p>
    <w:p w14:paraId="58FAA451">
      <w:pPr>
        <w:pStyle w:val="19"/>
        <w:spacing w:line="30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5．同意应贵方要求提供与本项目有关的任何数据或资料，并保证数据和资料的完整性和真实性</w:t>
      </w:r>
      <w:r>
        <w:rPr>
          <w:rFonts w:hint="eastAsia" w:ascii="仿宋" w:hAnsi="仿宋" w:eastAsia="仿宋" w:cs="仿宋"/>
          <w:color w:val="000000" w:themeColor="text1"/>
          <w:sz w:val="24"/>
          <w:szCs w:val="24"/>
          <w:lang w:eastAsia="zh-CN"/>
          <w14:textFill>
            <w14:solidFill>
              <w14:schemeClr w14:val="tx1"/>
            </w14:solidFill>
          </w14:textFill>
        </w:rPr>
        <w:t>；</w:t>
      </w:r>
    </w:p>
    <w:p w14:paraId="0F59879A">
      <w:pPr>
        <w:pStyle w:val="19"/>
        <w:spacing w:line="30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6．完全理解贵方不一定要接受最低报价的供应商为成交供应商的行为</w:t>
      </w:r>
      <w:r>
        <w:rPr>
          <w:rFonts w:hint="eastAsia" w:ascii="仿宋" w:hAnsi="仿宋" w:eastAsia="仿宋" w:cs="仿宋"/>
          <w:color w:val="000000" w:themeColor="text1"/>
          <w:sz w:val="24"/>
          <w:szCs w:val="24"/>
          <w:lang w:eastAsia="zh-CN"/>
          <w14:textFill>
            <w14:solidFill>
              <w14:schemeClr w14:val="tx1"/>
            </w14:solidFill>
          </w14:textFill>
        </w:rPr>
        <w:t>。</w:t>
      </w:r>
    </w:p>
    <w:p w14:paraId="2718084E">
      <w:pPr>
        <w:pStyle w:val="19"/>
        <w:spacing w:line="300" w:lineRule="auto"/>
        <w:ind w:firstLine="480" w:firstLineChars="200"/>
        <w:jc w:val="left"/>
        <w:outlineLvl w:val="9"/>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7．如我方成交：</w:t>
      </w:r>
    </w:p>
    <w:p w14:paraId="2762BD7F">
      <w:pPr>
        <w:pStyle w:val="19"/>
        <w:spacing w:line="300" w:lineRule="auto"/>
        <w:ind w:firstLine="480" w:firstLineChars="200"/>
        <w:jc w:val="left"/>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（1）我方承诺在收到成交通知书后，在成交通知书规定的期限内与你方签订合同，并履行相应的合同责任和义务</w:t>
      </w:r>
      <w:r>
        <w:rPr>
          <w:rFonts w:hint="eastAsia" w:ascii="仿宋" w:hAnsi="仿宋" w:eastAsia="仿宋" w:cs="仿宋"/>
          <w:color w:val="000000" w:themeColor="text1"/>
          <w:sz w:val="24"/>
          <w:szCs w:val="24"/>
          <w:lang w:eastAsia="zh-CN"/>
          <w14:textFill>
            <w14:solidFill>
              <w14:schemeClr w14:val="tx1"/>
            </w14:solidFill>
          </w14:textFill>
        </w:rPr>
        <w:t>；</w:t>
      </w:r>
    </w:p>
    <w:p w14:paraId="38C67DF5">
      <w:pPr>
        <w:pStyle w:val="19"/>
        <w:spacing w:line="300" w:lineRule="auto"/>
        <w:ind w:firstLine="480" w:firstLineChars="200"/>
        <w:jc w:val="left"/>
        <w:outlineLvl w:val="9"/>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（2）我方承诺将承担售后服务及质量责任。</w:t>
      </w:r>
    </w:p>
    <w:p w14:paraId="78D21773">
      <w:pPr>
        <w:pStyle w:val="19"/>
        <w:spacing w:line="30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8．我方在此声明，所递交的响应文件及有关资料内容完整、真实和准确。</w:t>
      </w:r>
    </w:p>
    <w:p w14:paraId="5CF921C2">
      <w:pPr>
        <w:pStyle w:val="19"/>
        <w:spacing w:line="30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9．</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（其他补充说明）。</w:t>
      </w:r>
    </w:p>
    <w:p w14:paraId="28EE5077">
      <w:pPr>
        <w:pStyle w:val="19"/>
        <w:spacing w:line="300" w:lineRule="auto"/>
        <w:ind w:firstLine="420" w:firstLineChars="200"/>
        <w:jc w:val="left"/>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 xml:space="preserve"> </w:t>
      </w:r>
    </w:p>
    <w:p w14:paraId="71724187">
      <w:pPr>
        <w:rPr>
          <w:rFonts w:hint="eastAsia" w:ascii="仿宋" w:hAnsi="仿宋" w:eastAsia="仿宋" w:cs="仿宋"/>
          <w:color w:val="000000" w:themeColor="text1"/>
          <w:szCs w:val="21"/>
          <w:lang w:val="en-US" w:eastAsia="zh-CN"/>
          <w14:textFill>
            <w14:solidFill>
              <w14:schemeClr w14:val="tx1"/>
            </w14:solidFill>
          </w14:textFill>
        </w:rPr>
      </w:pPr>
    </w:p>
    <w:p w14:paraId="5E8516FC">
      <w:pPr>
        <w:outlineLvl w:val="9"/>
        <w:rPr>
          <w:rFonts w:hint="eastAsia" w:ascii="仿宋" w:hAnsi="仿宋" w:eastAsia="仿宋" w:cs="仿宋"/>
          <w:lang w:val="en-US" w:eastAsia="zh-CN"/>
        </w:rPr>
      </w:pPr>
    </w:p>
    <w:bookmarkEnd w:id="373"/>
    <w:bookmarkEnd w:id="374"/>
    <w:bookmarkEnd w:id="375"/>
    <w:p w14:paraId="5752BC42">
      <w:pPr>
        <w:pageBreakBefore w:val="0"/>
        <w:kinsoku/>
        <w:wordWrap w:val="0"/>
        <w:topLinePunct w:val="0"/>
        <w:bidi w:val="0"/>
        <w:spacing w:line="360" w:lineRule="auto"/>
        <w:ind w:firstLine="1200" w:firstLineChars="500"/>
        <w:jc w:val="left"/>
        <w:rPr>
          <w:rFonts w:hint="eastAsia" w:ascii="仿宋" w:hAnsi="仿宋" w:eastAsia="仿宋" w:cs="仿宋"/>
          <w:color w:val="auto"/>
          <w:sz w:val="24"/>
          <w:szCs w:val="24"/>
          <w:highlight w:val="none"/>
        </w:rPr>
      </w:pPr>
      <w:bookmarkStart w:id="389" w:name="_Toc494043337"/>
      <w:bookmarkStart w:id="390" w:name="_Toc491307483"/>
      <w:bookmarkStart w:id="391" w:name="_Toc491307301"/>
      <w:bookmarkStart w:id="392" w:name="_Toc491307291"/>
      <w:bookmarkStart w:id="393" w:name="_Toc491307473"/>
      <w:bookmarkStart w:id="394" w:name="_Toc491307363"/>
      <w:bookmarkStart w:id="395" w:name="_Toc491307353"/>
      <w:r>
        <w:rPr>
          <w:rFonts w:hint="eastAsia" w:ascii="仿宋" w:hAnsi="仿宋" w:eastAsia="仿宋" w:cs="仿宋"/>
          <w:color w:val="auto"/>
          <w:kern w:val="1"/>
          <w:sz w:val="24"/>
          <w:szCs w:val="24"/>
          <w:highlight w:val="none"/>
          <w:lang w:val="en-US" w:eastAsia="zh-CN" w:bidi="ar-SA"/>
        </w:rPr>
        <w:t>供</w:t>
      </w:r>
      <w:r>
        <w:rPr>
          <w:rFonts w:hint="eastAsia" w:ascii="仿宋" w:hAnsi="仿宋" w:eastAsia="仿宋" w:cs="仿宋"/>
          <w:color w:val="auto"/>
          <w:sz w:val="24"/>
          <w:szCs w:val="24"/>
          <w:highlight w:val="none"/>
          <w:lang w:eastAsia="zh-CN"/>
        </w:rPr>
        <w:t>应商</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（盖单位公章）</w:t>
      </w:r>
    </w:p>
    <w:p w14:paraId="5202616E">
      <w:pPr>
        <w:pageBreakBefore w:val="0"/>
        <w:kinsoku/>
        <w:wordWrap w:val="0"/>
        <w:topLinePunct w:val="0"/>
        <w:bidi w:val="0"/>
        <w:spacing w:line="360" w:lineRule="auto"/>
        <w:ind w:firstLine="1200" w:firstLineChars="5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法定代表人或其委托代理人：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 xml:space="preserve">（签字） </w:t>
      </w:r>
    </w:p>
    <w:p w14:paraId="2DE09F67">
      <w:pPr>
        <w:ind w:firstLine="1200" w:firstLineChars="500"/>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auto"/>
          <w:sz w:val="24"/>
          <w:szCs w:val="24"/>
          <w:highlight w:val="none"/>
        </w:rPr>
        <w:t>日  期：</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年</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 xml:space="preserve"> 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日</w:t>
      </w:r>
      <w:r>
        <w:rPr>
          <w:rFonts w:hint="eastAsia" w:ascii="仿宋" w:hAnsi="仿宋" w:eastAsia="仿宋" w:cs="仿宋"/>
          <w:b/>
          <w:color w:val="000000" w:themeColor="text1"/>
          <w:kern w:val="0"/>
          <w:sz w:val="28"/>
          <w:szCs w:val="28"/>
          <w14:textFill>
            <w14:solidFill>
              <w14:schemeClr w14:val="tx1"/>
            </w14:solidFill>
          </w14:textFill>
        </w:rPr>
        <w:br w:type="page"/>
      </w:r>
    </w:p>
    <w:p w14:paraId="042747CB">
      <w:pPr>
        <w:pStyle w:val="3"/>
        <w:keepLines w:val="0"/>
        <w:spacing w:before="240" w:after="240" w:line="360" w:lineRule="auto"/>
        <w:jc w:val="center"/>
        <w:rPr>
          <w:rFonts w:hint="eastAsia" w:ascii="仿宋" w:hAnsi="仿宋" w:eastAsia="仿宋" w:cs="仿宋"/>
          <w:b/>
          <w:bCs w:val="0"/>
          <w:color w:val="000000" w:themeColor="text1"/>
          <w:kern w:val="0"/>
          <w:sz w:val="30"/>
          <w:szCs w:val="30"/>
          <w:lang w:val="en-US"/>
          <w14:textFill>
            <w14:solidFill>
              <w14:schemeClr w14:val="tx1"/>
            </w14:solidFill>
          </w14:textFill>
        </w:rPr>
      </w:pPr>
      <w:bookmarkStart w:id="396" w:name="_Toc491307364"/>
      <w:bookmarkStart w:id="397" w:name="_Toc6496666"/>
      <w:bookmarkStart w:id="398" w:name="_Toc494043338"/>
      <w:bookmarkStart w:id="399" w:name="_Toc491307302"/>
      <w:bookmarkStart w:id="400" w:name="_Toc27507"/>
      <w:bookmarkStart w:id="401" w:name="_Toc46924579"/>
      <w:bookmarkStart w:id="402" w:name="_Toc491307484"/>
      <w:r>
        <w:rPr>
          <w:rFonts w:hint="eastAsia" w:ascii="仿宋" w:hAnsi="仿宋" w:eastAsia="仿宋" w:cs="仿宋"/>
          <w:b/>
          <w:bCs w:val="0"/>
          <w:color w:val="000000" w:themeColor="text1"/>
          <w:kern w:val="0"/>
          <w:sz w:val="30"/>
          <w:szCs w:val="30"/>
          <w:lang w:val="en-US"/>
          <w14:textFill>
            <w14:solidFill>
              <w14:schemeClr w14:val="tx1"/>
            </w14:solidFill>
          </w14:textFill>
        </w:rPr>
        <w:t>三、</w:t>
      </w:r>
      <w:bookmarkEnd w:id="396"/>
      <w:bookmarkEnd w:id="397"/>
      <w:bookmarkEnd w:id="398"/>
      <w:bookmarkEnd w:id="399"/>
      <w:bookmarkEnd w:id="400"/>
      <w:bookmarkEnd w:id="401"/>
      <w:bookmarkEnd w:id="402"/>
      <w:r>
        <w:rPr>
          <w:rFonts w:hint="eastAsia" w:ascii="仿宋" w:hAnsi="仿宋" w:eastAsia="仿宋" w:cs="仿宋"/>
          <w:b/>
          <w:bCs w:val="0"/>
          <w:color w:val="000000" w:themeColor="text1"/>
          <w:kern w:val="0"/>
          <w:sz w:val="30"/>
          <w:szCs w:val="30"/>
          <w:lang w:val="en-US"/>
          <w14:textFill>
            <w14:solidFill>
              <w14:schemeClr w14:val="tx1"/>
            </w14:solidFill>
          </w14:textFill>
        </w:rPr>
        <w:t>供应商相关证件及资料</w:t>
      </w:r>
    </w:p>
    <w:p w14:paraId="47C9C8FF">
      <w:pPr>
        <w:wordWrap w:val="0"/>
        <w:spacing w:line="500" w:lineRule="exact"/>
        <w:ind w:firstLine="560" w:firstLineChars="200"/>
        <w:rPr>
          <w:rFonts w:hint="eastAsia" w:ascii="仿宋" w:hAnsi="仿宋" w:eastAsia="仿宋" w:cs="仿宋"/>
          <w:color w:val="auto"/>
          <w:sz w:val="28"/>
          <w:szCs w:val="28"/>
          <w:highlight w:val="none"/>
        </w:rPr>
      </w:pPr>
      <w:bookmarkStart w:id="403" w:name="_Toc6496667"/>
      <w:bookmarkStart w:id="404" w:name="_Toc491307365"/>
      <w:bookmarkStart w:id="405" w:name="_Toc491307303"/>
      <w:bookmarkStart w:id="406" w:name="_Toc491307485"/>
      <w:bookmarkStart w:id="407" w:name="_Toc494043339"/>
      <w:r>
        <w:rPr>
          <w:rFonts w:hint="eastAsia" w:ascii="仿宋" w:hAnsi="仿宋" w:eastAsia="仿宋" w:cs="仿宋"/>
          <w:color w:val="auto"/>
          <w:sz w:val="28"/>
          <w:szCs w:val="28"/>
          <w:highlight w:val="none"/>
        </w:rPr>
        <w:t>1.供应商须具有独立承担民事责任的能力：提供法人或者其他组织有效的营业执照等证明文件；</w:t>
      </w:r>
    </w:p>
    <w:p w14:paraId="4956B55F">
      <w:pPr>
        <w:wordWrap w:val="0"/>
        <w:spacing w:line="500" w:lineRule="exact"/>
        <w:ind w:firstLine="560" w:firstLineChars="200"/>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2.有效的建设行政主管部门颁发的工程监理综合资质证书或市政公用工程专业乙级（含乙级）以上资质证书；</w:t>
      </w:r>
    </w:p>
    <w:p w14:paraId="341618A9">
      <w:pPr>
        <w:wordWrap w:val="0"/>
        <w:spacing w:line="500" w:lineRule="exact"/>
        <w:ind w:firstLine="560" w:firstLineChars="200"/>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3.</w:t>
      </w:r>
      <w:r>
        <w:rPr>
          <w:rFonts w:hint="eastAsia" w:ascii="仿宋" w:hAnsi="仿宋" w:eastAsia="仿宋" w:cs="仿宋"/>
          <w:color w:val="auto"/>
          <w:kern w:val="0"/>
          <w:sz w:val="28"/>
          <w:szCs w:val="28"/>
          <w:highlight w:val="none"/>
          <w:lang w:val="en-US" w:eastAsia="zh-CN" w:bidi="zh-CN"/>
        </w:rPr>
        <w:t>总监理工程师国家注册监理工程师注册证书（市政公用工程专业），并注册在投标单位（提供劳动合同</w:t>
      </w:r>
      <w:r>
        <w:rPr>
          <w:rFonts w:hint="eastAsia" w:ascii="仿宋" w:hAnsi="仿宋" w:eastAsia="仿宋" w:cs="仿宋"/>
          <w:color w:val="auto"/>
          <w:kern w:val="0"/>
          <w:sz w:val="28"/>
          <w:szCs w:val="28"/>
          <w:highlight w:val="none"/>
          <w:u w:val="none"/>
          <w:lang w:val="en-US" w:eastAsia="zh-CN" w:bidi="zh-CN"/>
        </w:rPr>
        <w:t>或其他合法</w:t>
      </w:r>
      <w:r>
        <w:rPr>
          <w:rFonts w:hint="eastAsia" w:ascii="仿宋" w:hAnsi="仿宋" w:eastAsia="仿宋" w:cs="仿宋"/>
          <w:color w:val="auto"/>
          <w:kern w:val="0"/>
          <w:sz w:val="28"/>
          <w:szCs w:val="28"/>
          <w:highlight w:val="none"/>
          <w:lang w:val="en-US" w:eastAsia="zh-CN" w:bidi="zh-CN"/>
        </w:rPr>
        <w:t>证明材料），且具备中级工程师及以上职称</w:t>
      </w:r>
      <w:r>
        <w:rPr>
          <w:rFonts w:hint="eastAsia" w:ascii="仿宋" w:hAnsi="仿宋" w:eastAsia="仿宋" w:cs="仿宋"/>
          <w:color w:val="auto"/>
          <w:kern w:val="0"/>
          <w:sz w:val="28"/>
          <w:szCs w:val="28"/>
          <w:highlight w:val="none"/>
          <w:lang w:val="en-US" w:eastAsia="zh-CN"/>
        </w:rPr>
        <w:t>；</w:t>
      </w:r>
    </w:p>
    <w:p w14:paraId="20A117CB">
      <w:pPr>
        <w:wordWrap w:val="0"/>
        <w:spacing w:line="500" w:lineRule="exact"/>
        <w:ind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4.2023年度经第三方审计机构审计的财务状况报告，包括资产负债表、利润表（损益表）、现金流量表及其附注（新成立公司不足 1年的可提供自成立之日起任意2个月的财务报表包括资产负债表、利润表(损益表)、现金流量表，不足 2 个月的，需做出说明）或是基本开户银行出具的资信证明（资信证明出具时间应为本项目开始时间后）或是财政部门认可政府采购专业担保机构出具的投标担保函；</w:t>
      </w:r>
    </w:p>
    <w:p w14:paraId="799DA94E">
      <w:pPr>
        <w:wordWrap w:val="0"/>
        <w:spacing w:line="50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参加本次磋商活动前段时间（2024年06月至今）任意2个月依法缴纳税收(税收是指增值税或营业税或企业所得税)的凭据；如在参加本次磋商活动前段时间上税为零，提供该段时间税收为零的《增值税或营业税或企业所得税等税款申报表》或《增值税或营业税或企业所得税等税款网上办税受理通知单》；依法免税的供应商，提供相应的免税文件证明资料；若为新成立的公司应作出说明</w:t>
      </w:r>
      <w:r>
        <w:rPr>
          <w:rFonts w:hint="eastAsia" w:ascii="仿宋" w:hAnsi="仿宋" w:eastAsia="仿宋" w:cs="仿宋"/>
          <w:color w:val="auto"/>
          <w:kern w:val="0"/>
          <w:sz w:val="28"/>
          <w:szCs w:val="28"/>
          <w:highlight w:val="none"/>
          <w:lang w:eastAsia="zh-CN"/>
        </w:rPr>
        <w:t>；</w:t>
      </w:r>
    </w:p>
    <w:p w14:paraId="4BE5794A">
      <w:pPr>
        <w:wordWrap w:val="0"/>
        <w:spacing w:line="50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000000" w:themeColor="text1"/>
          <w:sz w:val="28"/>
          <w:szCs w:val="28"/>
          <w:lang w:val="zh-CN"/>
          <w14:textFill>
            <w14:solidFill>
              <w14:schemeClr w14:val="tx1"/>
            </w14:solidFill>
          </w14:textFill>
        </w:rPr>
        <w:t>参加本次磋商活动前段时间（2024年0</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lang w:val="zh-CN"/>
          <w14:textFill>
            <w14:solidFill>
              <w14:schemeClr w14:val="tx1"/>
            </w14:solidFill>
          </w14:textFill>
        </w:rPr>
        <w:t>月至今）任意2个月依法缴纳社会保险（社会保险是指养老保险、工伤保险、医疗保险和失业保险）的凭据或专用收据或社会保险缴纳清单或其他有效证明材料；依法不需要缴纳社会保险的供应商，应提供相应文件证明其依法不需要缴纳社会保险；若为新成立的公司应作出说明</w:t>
      </w:r>
      <w:r>
        <w:rPr>
          <w:rFonts w:hint="eastAsia" w:ascii="仿宋" w:hAnsi="仿宋" w:eastAsia="仿宋" w:cs="仿宋"/>
          <w:color w:val="auto"/>
          <w:sz w:val="28"/>
          <w:szCs w:val="28"/>
          <w:highlight w:val="none"/>
          <w:lang w:val="en-US" w:eastAsia="zh-CN"/>
        </w:rPr>
        <w:t>；</w:t>
      </w:r>
    </w:p>
    <w:p w14:paraId="1D56C7F4">
      <w:pPr>
        <w:keepNext w:val="0"/>
        <w:keepLines w:val="0"/>
        <w:pageBreakBefore w:val="0"/>
        <w:tabs>
          <w:tab w:val="center" w:pos="4536"/>
          <w:tab w:val="left" w:pos="5069"/>
        </w:tabs>
        <w:kinsoku/>
        <w:overflowPunct/>
        <w:topLinePunct w:val="0"/>
        <w:autoSpaceDE/>
        <w:autoSpaceDN/>
        <w:bidi w:val="0"/>
        <w:adjustRightInd/>
        <w:spacing w:line="460" w:lineRule="exact"/>
        <w:ind w:firstLine="560" w:firstLineChars="200"/>
        <w:jc w:val="left"/>
        <w:textAlignment w:val="auto"/>
        <w:outlineLvl w:val="9"/>
        <w:rPr>
          <w:rFonts w:hint="eastAsia" w:eastAsia="仿宋"/>
          <w:color w:val="auto"/>
          <w:highlight w:val="none"/>
          <w:lang w:val="en-US" w:eastAsia="zh-CN"/>
        </w:rPr>
      </w:pPr>
      <w:r>
        <w:rPr>
          <w:rFonts w:hint="eastAsia" w:ascii="仿宋" w:hAnsi="仿宋" w:eastAsia="仿宋" w:cs="仿宋"/>
          <w:color w:val="auto"/>
          <w:kern w:val="0"/>
          <w:sz w:val="28"/>
          <w:szCs w:val="28"/>
          <w:highlight w:val="none"/>
          <w:lang w:val="en-US" w:eastAsia="zh-CN"/>
        </w:rPr>
        <w:t>8.</w:t>
      </w:r>
      <w:r>
        <w:rPr>
          <w:rFonts w:hint="eastAsia" w:ascii="仿宋" w:hAnsi="仿宋" w:eastAsia="仿宋" w:cs="仿宋"/>
          <w:color w:val="auto"/>
          <w:sz w:val="28"/>
          <w:szCs w:val="28"/>
          <w:highlight w:val="none"/>
        </w:rPr>
        <w:t>采购代理机构出具的</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保证金收据</w:t>
      </w:r>
      <w:r>
        <w:rPr>
          <w:rFonts w:hint="eastAsia" w:ascii="仿宋" w:hAnsi="仿宋" w:eastAsia="仿宋" w:cs="仿宋"/>
          <w:color w:val="auto"/>
          <w:sz w:val="28"/>
          <w:szCs w:val="28"/>
          <w:highlight w:val="none"/>
          <w:lang w:eastAsia="zh-CN"/>
        </w:rPr>
        <w:t>；</w:t>
      </w:r>
    </w:p>
    <w:p w14:paraId="3191411F">
      <w:pPr>
        <w:wordWrap w:val="0"/>
        <w:spacing w:line="5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9.具有履行合同所必需的设备和专业技术能力的声明书</w:t>
      </w:r>
      <w:r>
        <w:rPr>
          <w:rFonts w:hint="eastAsia" w:ascii="仿宋" w:hAnsi="仿宋" w:eastAsia="仿宋" w:cs="仿宋"/>
          <w:color w:val="auto"/>
          <w:sz w:val="28"/>
          <w:szCs w:val="28"/>
          <w:highlight w:val="none"/>
        </w:rPr>
        <w:t>（格式见“附件1”）；</w:t>
      </w:r>
    </w:p>
    <w:p w14:paraId="6584316E">
      <w:pPr>
        <w:wordWrap w:val="0"/>
        <w:spacing w:line="50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.参加采购活动前3年内，在经营活动中没有重大违法记录的声明书 （格式见“附件2”）；</w:t>
      </w:r>
    </w:p>
    <w:p w14:paraId="44076E6E">
      <w:pPr>
        <w:wordWrap w:val="0"/>
        <w:spacing w:line="500" w:lineRule="exact"/>
        <w:ind w:firstLine="560" w:firstLineChars="200"/>
        <w:rPr>
          <w:color w:val="auto"/>
          <w:highlight w:val="none"/>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.单位法人为同一人或存在控股、管理关系的不同单位，没有参加同一标段投标或者未划分标段的同一招标项目投标的承诺书（格式见“附件3”）。</w:t>
      </w:r>
    </w:p>
    <w:p w14:paraId="6445E6CE">
      <w:pPr>
        <w:spacing w:line="60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注：</w:t>
      </w:r>
      <w:r>
        <w:rPr>
          <w:rFonts w:hint="eastAsia" w:ascii="仿宋" w:hAnsi="仿宋" w:eastAsia="仿宋" w:cs="仿宋"/>
          <w:b/>
          <w:color w:val="auto"/>
          <w:sz w:val="28"/>
          <w:szCs w:val="28"/>
          <w:highlight w:val="none"/>
          <w:lang w:eastAsia="zh-CN"/>
        </w:rPr>
        <w:t>供应商</w:t>
      </w:r>
      <w:r>
        <w:rPr>
          <w:rFonts w:hint="eastAsia" w:ascii="仿宋" w:hAnsi="仿宋" w:eastAsia="仿宋" w:cs="仿宋"/>
          <w:b/>
          <w:color w:val="auto"/>
          <w:sz w:val="28"/>
          <w:szCs w:val="28"/>
          <w:highlight w:val="none"/>
        </w:rPr>
        <w:t>自行承担所提供上述资料任何错漏而导致的一切后果。</w:t>
      </w:r>
    </w:p>
    <w:p w14:paraId="1CAE6A75">
      <w:pPr>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br w:type="page"/>
      </w:r>
    </w:p>
    <w:p w14:paraId="3E14C15E">
      <w:pPr>
        <w:pageBreakBefore w:val="0"/>
        <w:numPr>
          <w:ilvl w:val="0"/>
          <w:numId w:val="0"/>
        </w:numPr>
        <w:kinsoku/>
        <w:wordWrap w:val="0"/>
        <w:topLinePunct w:val="0"/>
        <w:bidi w:val="0"/>
        <w:adjustRightInd w:val="0"/>
        <w:snapToGrid w:val="0"/>
        <w:spacing w:line="360" w:lineRule="auto"/>
        <w:jc w:val="both"/>
        <w:outlineLvl w:val="9"/>
        <w:rPr>
          <w:rFonts w:hint="default" w:ascii="仿宋" w:hAnsi="仿宋" w:eastAsia="仿宋" w:cs="仿宋"/>
          <w:b/>
          <w:color w:val="auto"/>
          <w:sz w:val="28"/>
          <w:szCs w:val="28"/>
          <w:highlight w:val="none"/>
          <w:lang w:val="en-US" w:eastAsia="zh-CN"/>
        </w:rPr>
      </w:pPr>
      <w:r>
        <w:rPr>
          <w:rFonts w:hint="eastAsia" w:ascii="仿宋" w:hAnsi="仿宋" w:eastAsia="仿宋" w:cs="仿宋"/>
          <w:b/>
          <w:color w:val="auto"/>
          <w:sz w:val="28"/>
          <w:szCs w:val="28"/>
          <w:highlight w:val="none"/>
          <w:lang w:eastAsia="zh-CN"/>
        </w:rPr>
        <w:t>附件</w:t>
      </w:r>
      <w:r>
        <w:rPr>
          <w:rFonts w:hint="eastAsia" w:ascii="仿宋" w:hAnsi="仿宋" w:eastAsia="仿宋" w:cs="仿宋"/>
          <w:b/>
          <w:color w:val="auto"/>
          <w:sz w:val="28"/>
          <w:szCs w:val="28"/>
          <w:highlight w:val="none"/>
          <w:lang w:val="en-US" w:eastAsia="zh-CN"/>
        </w:rPr>
        <w:t>1：</w:t>
      </w:r>
    </w:p>
    <w:p w14:paraId="53694552">
      <w:pPr>
        <w:pageBreakBefore w:val="0"/>
        <w:numPr>
          <w:ilvl w:val="0"/>
          <w:numId w:val="0"/>
        </w:numPr>
        <w:kinsoku/>
        <w:wordWrap w:val="0"/>
        <w:topLinePunct w:val="0"/>
        <w:bidi w:val="0"/>
        <w:adjustRightInd w:val="0"/>
        <w:snapToGrid w:val="0"/>
        <w:spacing w:line="360" w:lineRule="auto"/>
        <w:jc w:val="center"/>
        <w:outlineLvl w:val="9"/>
        <w:rPr>
          <w:rFonts w:hint="eastAsia" w:ascii="仿宋" w:hAnsi="仿宋" w:eastAsia="仿宋" w:cs="仿宋"/>
          <w:b/>
          <w:bCs/>
          <w:color w:val="auto"/>
          <w:spacing w:val="-11"/>
          <w:kern w:val="2"/>
          <w:sz w:val="28"/>
          <w:szCs w:val="28"/>
          <w:highlight w:val="none"/>
          <w:lang w:val="en-US" w:eastAsia="zh-CN" w:bidi="ar-SA"/>
        </w:rPr>
      </w:pPr>
    </w:p>
    <w:p w14:paraId="750922EE">
      <w:pPr>
        <w:pageBreakBefore w:val="0"/>
        <w:numPr>
          <w:ilvl w:val="0"/>
          <w:numId w:val="0"/>
        </w:numPr>
        <w:kinsoku/>
        <w:wordWrap w:val="0"/>
        <w:topLinePunct w:val="0"/>
        <w:bidi w:val="0"/>
        <w:adjustRightInd w:val="0"/>
        <w:snapToGrid w:val="0"/>
        <w:spacing w:line="360" w:lineRule="auto"/>
        <w:jc w:val="center"/>
        <w:outlineLvl w:val="9"/>
        <w:rPr>
          <w:rFonts w:hint="eastAsia" w:ascii="仿宋" w:hAnsi="仿宋" w:eastAsia="仿宋" w:cs="仿宋"/>
          <w:b/>
          <w:bCs/>
          <w:color w:val="auto"/>
          <w:spacing w:val="-11"/>
          <w:kern w:val="2"/>
          <w:sz w:val="28"/>
          <w:szCs w:val="28"/>
          <w:highlight w:val="none"/>
          <w:lang w:val="en-US" w:eastAsia="zh-CN" w:bidi="ar-SA"/>
        </w:rPr>
      </w:pPr>
      <w:r>
        <w:rPr>
          <w:rFonts w:hint="eastAsia" w:ascii="仿宋" w:hAnsi="仿宋" w:eastAsia="仿宋" w:cs="仿宋"/>
          <w:b/>
          <w:bCs/>
          <w:color w:val="auto"/>
          <w:spacing w:val="-11"/>
          <w:kern w:val="2"/>
          <w:sz w:val="28"/>
          <w:szCs w:val="28"/>
          <w:highlight w:val="none"/>
          <w:lang w:val="en-US" w:eastAsia="zh-CN" w:bidi="ar-SA"/>
        </w:rPr>
        <w:t>具有履行合同所必需的设备和专业技术能力的声明书</w:t>
      </w:r>
    </w:p>
    <w:p w14:paraId="155EE50C">
      <w:pPr>
        <w:pageBreakBefore w:val="0"/>
        <w:numPr>
          <w:ilvl w:val="0"/>
          <w:numId w:val="0"/>
        </w:numPr>
        <w:kinsoku/>
        <w:wordWrap w:val="0"/>
        <w:topLinePunct w:val="0"/>
        <w:bidi w:val="0"/>
        <w:adjustRightInd w:val="0"/>
        <w:snapToGrid w:val="0"/>
        <w:spacing w:line="360" w:lineRule="auto"/>
        <w:jc w:val="left"/>
        <w:rPr>
          <w:rFonts w:hint="eastAsia" w:ascii="仿宋" w:hAnsi="仿宋" w:eastAsia="仿宋" w:cs="仿宋"/>
          <w:color w:val="auto"/>
          <w:sz w:val="28"/>
          <w:szCs w:val="28"/>
          <w:highlight w:val="none"/>
          <w:u w:val="single"/>
        </w:rPr>
      </w:pPr>
    </w:p>
    <w:p w14:paraId="32946717">
      <w:pPr>
        <w:pageBreakBefore w:val="0"/>
        <w:numPr>
          <w:ilvl w:val="0"/>
          <w:numId w:val="0"/>
        </w:numPr>
        <w:kinsoku/>
        <w:wordWrap w:val="0"/>
        <w:topLinePunct w:val="0"/>
        <w:bidi w:val="0"/>
        <w:adjustRightInd w:val="0"/>
        <w:snapToGrid w:val="0"/>
        <w:spacing w:line="360" w:lineRule="auto"/>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采购人</w:t>
      </w:r>
      <w:r>
        <w:rPr>
          <w:rFonts w:hint="eastAsia" w:ascii="仿宋" w:hAnsi="仿宋" w:eastAsia="仿宋" w:cs="仿宋"/>
          <w:color w:val="auto"/>
          <w:sz w:val="28"/>
          <w:szCs w:val="28"/>
          <w:highlight w:val="none"/>
          <w:u w:val="single"/>
        </w:rPr>
        <w:t xml:space="preserve">名称）  </w:t>
      </w:r>
      <w:r>
        <w:rPr>
          <w:rFonts w:hint="eastAsia" w:ascii="仿宋" w:hAnsi="仿宋" w:eastAsia="仿宋" w:cs="仿宋"/>
          <w:color w:val="auto"/>
          <w:sz w:val="28"/>
          <w:szCs w:val="28"/>
          <w:highlight w:val="none"/>
          <w:u w:val="none"/>
          <w:lang w:eastAsia="zh-CN"/>
        </w:rPr>
        <w:t>：</w:t>
      </w:r>
    </w:p>
    <w:p w14:paraId="54FB9D1D">
      <w:pPr>
        <w:pageBreakBefore w:val="0"/>
        <w:kinsoku/>
        <w:wordWrap w:val="0"/>
        <w:topLinePunct w:val="0"/>
        <w:bidi w:val="0"/>
        <w:jc w:val="center"/>
        <w:outlineLvl w:val="9"/>
        <w:rPr>
          <w:rFonts w:hint="eastAsia" w:ascii="仿宋" w:hAnsi="仿宋" w:eastAsia="仿宋" w:cs="仿宋"/>
          <w:b/>
          <w:bCs/>
          <w:color w:val="auto"/>
          <w:spacing w:val="-11"/>
          <w:kern w:val="2"/>
          <w:sz w:val="28"/>
          <w:szCs w:val="28"/>
          <w:highlight w:val="none"/>
          <w:lang w:val="en-US" w:eastAsia="zh-CN" w:bidi="ar-SA"/>
        </w:rPr>
      </w:pPr>
    </w:p>
    <w:p w14:paraId="5679D13F">
      <w:pPr>
        <w:pageBreakBefore w:val="0"/>
        <w:kinsoku/>
        <w:wordWrap w:val="0"/>
        <w:topLinePunct w:val="0"/>
        <w:bidi w:val="0"/>
        <w:adjustRightInd w:val="0"/>
        <w:snapToGrid w:val="0"/>
        <w:spacing w:line="360" w:lineRule="auto"/>
        <w:ind w:firstLine="465"/>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我方参加</w:t>
      </w:r>
      <w:r>
        <w:rPr>
          <w:rFonts w:hint="eastAsia" w:ascii="仿宋" w:hAnsi="仿宋" w:eastAsia="仿宋" w:cs="仿宋"/>
          <w:color w:val="auto"/>
          <w:sz w:val="28"/>
          <w:szCs w:val="28"/>
          <w:highlight w:val="none"/>
          <w:u w:val="single"/>
        </w:rPr>
        <w:t xml:space="preserve">        项目名称     </w:t>
      </w:r>
      <w:r>
        <w:rPr>
          <w:rFonts w:hint="eastAsia" w:ascii="仿宋" w:hAnsi="仿宋" w:eastAsia="仿宋" w:cs="仿宋"/>
          <w:color w:val="auto"/>
          <w:sz w:val="28"/>
          <w:szCs w:val="28"/>
          <w:highlight w:val="none"/>
        </w:rPr>
        <w:t>（以下简称“本项目”）的</w:t>
      </w:r>
      <w:r>
        <w:rPr>
          <w:rFonts w:hint="eastAsia" w:ascii="仿宋" w:hAnsi="仿宋" w:eastAsia="仿宋" w:cs="仿宋"/>
          <w:color w:val="auto"/>
          <w:sz w:val="28"/>
          <w:szCs w:val="28"/>
          <w:highlight w:val="none"/>
          <w:lang w:eastAsia="zh-CN"/>
        </w:rPr>
        <w:t>投标，本公司郑重承诺：本公司具有履行合同所必需的设备和专业技术能力，符合政府采购法第二十二条规定的资格条件，本公司对上述承诺的真实性负责。如有虚假，将依法承担相应责任。</w:t>
      </w:r>
    </w:p>
    <w:p w14:paraId="6E5DED2E">
      <w:pPr>
        <w:pageBreakBefore w:val="0"/>
        <w:kinsoku/>
        <w:wordWrap w:val="0"/>
        <w:topLinePunct w:val="0"/>
        <w:bidi w:val="0"/>
        <w:adjustRightInd w:val="0"/>
        <w:snapToGrid w:val="0"/>
        <w:spacing w:line="360" w:lineRule="auto"/>
        <w:ind w:firstLine="465"/>
        <w:jc w:val="left"/>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特此声明</w:t>
      </w:r>
    </w:p>
    <w:p w14:paraId="19526F7E">
      <w:pPr>
        <w:pageBreakBefore w:val="0"/>
        <w:kinsoku/>
        <w:wordWrap w:val="0"/>
        <w:topLinePunct w:val="0"/>
        <w:bidi w:val="0"/>
        <w:spacing w:line="48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p w14:paraId="5CFFBE5F">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48D9B952">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法定代表人或其委托代理人：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eastAsia="zh-CN"/>
        </w:rPr>
        <w:t xml:space="preserve">（签字） </w:t>
      </w:r>
    </w:p>
    <w:p w14:paraId="48B9ED94">
      <w:pPr>
        <w:pageBreakBefore w:val="0"/>
        <w:kinsoku/>
        <w:wordWrap w:val="0"/>
        <w:topLinePunct w:val="0"/>
        <w:bidi w:val="0"/>
        <w:spacing w:line="360" w:lineRule="auto"/>
        <w:ind w:firstLine="1400" w:firstLineChars="500"/>
        <w:jc w:val="center"/>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日</w:t>
      </w:r>
    </w:p>
    <w:p w14:paraId="1404F005">
      <w:pPr>
        <w:pageBreakBefore w:val="0"/>
        <w:kinsoku/>
        <w:wordWrap w:val="0"/>
        <w:topLinePunct w:val="0"/>
        <w:bidi w:val="0"/>
        <w:jc w:val="center"/>
        <w:outlineLvl w:val="9"/>
        <w:rPr>
          <w:rFonts w:hint="eastAsia" w:ascii="仿宋" w:hAnsi="仿宋" w:eastAsia="仿宋" w:cs="仿宋"/>
          <w:b/>
          <w:bCs/>
          <w:color w:val="auto"/>
          <w:spacing w:val="-11"/>
          <w:kern w:val="2"/>
          <w:sz w:val="28"/>
          <w:szCs w:val="28"/>
          <w:highlight w:val="none"/>
          <w:lang w:val="en-US" w:eastAsia="zh-CN" w:bidi="ar-SA"/>
        </w:rPr>
        <w:sectPr>
          <w:headerReference r:id="rId7" w:type="default"/>
          <w:footerReference r:id="rId8" w:type="default"/>
          <w:pgSz w:w="11906"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14:paraId="74186856">
      <w:pPr>
        <w:pageBreakBefore w:val="0"/>
        <w:numPr>
          <w:ilvl w:val="0"/>
          <w:numId w:val="0"/>
        </w:numPr>
        <w:kinsoku/>
        <w:wordWrap w:val="0"/>
        <w:topLinePunct w:val="0"/>
        <w:bidi w:val="0"/>
        <w:adjustRightInd w:val="0"/>
        <w:snapToGrid w:val="0"/>
        <w:spacing w:line="360" w:lineRule="auto"/>
        <w:jc w:val="both"/>
        <w:outlineLvl w:val="9"/>
        <w:rPr>
          <w:rFonts w:hint="default" w:ascii="仿宋" w:hAnsi="仿宋" w:eastAsia="仿宋" w:cs="仿宋"/>
          <w:b/>
          <w:color w:val="auto"/>
          <w:sz w:val="28"/>
          <w:szCs w:val="28"/>
          <w:highlight w:val="none"/>
          <w:lang w:val="en-US" w:eastAsia="zh-CN"/>
        </w:rPr>
      </w:pPr>
      <w:bookmarkStart w:id="408" w:name="_Toc23565"/>
      <w:bookmarkStart w:id="409" w:name="_Toc6796"/>
      <w:bookmarkStart w:id="410" w:name="_Toc21686"/>
      <w:r>
        <w:rPr>
          <w:rFonts w:hint="eastAsia" w:ascii="仿宋" w:hAnsi="仿宋" w:eastAsia="仿宋" w:cs="仿宋"/>
          <w:b/>
          <w:color w:val="auto"/>
          <w:sz w:val="28"/>
          <w:szCs w:val="28"/>
          <w:highlight w:val="none"/>
          <w:lang w:eastAsia="zh-CN"/>
        </w:rPr>
        <w:t>附件</w:t>
      </w:r>
      <w:r>
        <w:rPr>
          <w:rFonts w:hint="eastAsia" w:ascii="仿宋" w:hAnsi="仿宋" w:eastAsia="仿宋" w:cs="仿宋"/>
          <w:b/>
          <w:color w:val="auto"/>
          <w:sz w:val="28"/>
          <w:szCs w:val="28"/>
          <w:highlight w:val="none"/>
          <w:lang w:val="en-US" w:eastAsia="zh-CN"/>
        </w:rPr>
        <w:t>2：</w:t>
      </w:r>
    </w:p>
    <w:p w14:paraId="0FBAE177">
      <w:pPr>
        <w:pageBreakBefore w:val="0"/>
        <w:numPr>
          <w:ilvl w:val="0"/>
          <w:numId w:val="0"/>
        </w:numPr>
        <w:kinsoku/>
        <w:wordWrap w:val="0"/>
        <w:topLinePunct w:val="0"/>
        <w:bidi w:val="0"/>
        <w:spacing w:before="60" w:after="60" w:line="500" w:lineRule="exact"/>
        <w:ind w:left="840" w:leftChars="0"/>
        <w:jc w:val="both"/>
        <w:outlineLvl w:val="9"/>
        <w:rPr>
          <w:rFonts w:hint="eastAsia" w:ascii="仿宋" w:hAnsi="仿宋" w:eastAsia="仿宋" w:cs="仿宋"/>
          <w:b/>
          <w:bCs/>
          <w:color w:val="auto"/>
          <w:sz w:val="28"/>
          <w:szCs w:val="28"/>
          <w:highlight w:val="none"/>
          <w:lang w:eastAsia="zh-CN"/>
        </w:rPr>
      </w:pPr>
    </w:p>
    <w:p w14:paraId="0A7D27A6">
      <w:pPr>
        <w:pageBreakBefore w:val="0"/>
        <w:numPr>
          <w:ilvl w:val="0"/>
          <w:numId w:val="0"/>
        </w:numPr>
        <w:kinsoku/>
        <w:wordWrap w:val="0"/>
        <w:topLinePunct w:val="0"/>
        <w:bidi w:val="0"/>
        <w:spacing w:before="60" w:after="60" w:line="500" w:lineRule="exact"/>
        <w:ind w:left="840" w:leftChars="0"/>
        <w:jc w:val="both"/>
        <w:outlineLvl w:val="9"/>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参加采购活动前3年内，在经营活动中没有重大违法记录的声明书</w:t>
      </w:r>
      <w:bookmarkEnd w:id="408"/>
      <w:bookmarkEnd w:id="409"/>
      <w:bookmarkEnd w:id="410"/>
    </w:p>
    <w:p w14:paraId="3E81C93D">
      <w:pPr>
        <w:pageBreakBefore w:val="0"/>
        <w:kinsoku/>
        <w:wordWrap w:val="0"/>
        <w:topLinePunct w:val="0"/>
        <w:bidi w:val="0"/>
        <w:adjustRightInd w:val="0"/>
        <w:snapToGrid w:val="0"/>
        <w:spacing w:line="500" w:lineRule="exact"/>
        <w:jc w:val="left"/>
        <w:rPr>
          <w:rFonts w:hint="eastAsia" w:ascii="仿宋" w:hAnsi="仿宋" w:eastAsia="仿宋" w:cs="仿宋"/>
          <w:color w:val="auto"/>
          <w:sz w:val="28"/>
          <w:szCs w:val="28"/>
          <w:highlight w:val="none"/>
          <w:u w:val="single"/>
        </w:rPr>
      </w:pPr>
    </w:p>
    <w:p w14:paraId="0B2F2F31">
      <w:pPr>
        <w:pageBreakBefore w:val="0"/>
        <w:kinsoku/>
        <w:wordWrap w:val="0"/>
        <w:topLinePunct w:val="0"/>
        <w:bidi w:val="0"/>
        <w:adjustRightInd w:val="0"/>
        <w:snapToGrid w:val="0"/>
        <w:spacing w:line="500" w:lineRule="exact"/>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eastAsia="zh-CN"/>
        </w:rPr>
        <w:t>采购人</w:t>
      </w:r>
      <w:r>
        <w:rPr>
          <w:rFonts w:hint="eastAsia" w:ascii="仿宋" w:hAnsi="仿宋" w:eastAsia="仿宋" w:cs="仿宋"/>
          <w:color w:val="auto"/>
          <w:sz w:val="28"/>
          <w:szCs w:val="28"/>
          <w:highlight w:val="none"/>
          <w:u w:val="single"/>
        </w:rPr>
        <w:t xml:space="preserve">名称）       </w:t>
      </w:r>
      <w:r>
        <w:rPr>
          <w:rFonts w:hint="eastAsia" w:ascii="仿宋" w:hAnsi="仿宋" w:eastAsia="仿宋" w:cs="仿宋"/>
          <w:color w:val="auto"/>
          <w:sz w:val="28"/>
          <w:szCs w:val="28"/>
          <w:highlight w:val="none"/>
          <w:u w:val="single"/>
          <w:lang w:eastAsia="zh-CN"/>
        </w:rPr>
        <w:t>：</w:t>
      </w:r>
    </w:p>
    <w:p w14:paraId="29D946B0">
      <w:pPr>
        <w:pageBreakBefore w:val="0"/>
        <w:kinsoku/>
        <w:wordWrap w:val="0"/>
        <w:topLinePunct w:val="0"/>
        <w:bidi w:val="0"/>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我方在此声明，我方参加</w:t>
      </w:r>
      <w:r>
        <w:rPr>
          <w:rFonts w:hint="eastAsia" w:ascii="仿宋" w:hAnsi="仿宋" w:eastAsia="仿宋" w:cs="仿宋"/>
          <w:color w:val="auto"/>
          <w:sz w:val="28"/>
          <w:szCs w:val="28"/>
          <w:highlight w:val="none"/>
          <w:u w:val="single"/>
        </w:rPr>
        <w:t xml:space="preserve"> （项目名称）</w:t>
      </w:r>
      <w:r>
        <w:rPr>
          <w:rFonts w:hint="eastAsia" w:ascii="仿宋" w:hAnsi="仿宋" w:eastAsia="仿宋" w:cs="仿宋"/>
          <w:color w:val="auto"/>
          <w:sz w:val="28"/>
          <w:szCs w:val="28"/>
          <w:highlight w:val="none"/>
        </w:rPr>
        <w:t>的采购活动前三年内在经营活动中没有重大违法记录</w:t>
      </w:r>
      <w:r>
        <w:rPr>
          <w:rFonts w:hint="eastAsia" w:ascii="仿宋" w:hAnsi="仿宋" w:eastAsia="仿宋" w:cs="仿宋"/>
          <w:bCs/>
          <w:color w:val="auto"/>
          <w:kern w:val="1"/>
          <w:sz w:val="28"/>
          <w:szCs w:val="28"/>
          <w:highlight w:val="none"/>
        </w:rPr>
        <w:t>（重大违法记录是指</w:t>
      </w:r>
      <w:r>
        <w:rPr>
          <w:rFonts w:hint="eastAsia" w:ascii="仿宋" w:hAnsi="仿宋" w:eastAsia="仿宋" w:cs="仿宋"/>
          <w:bCs/>
          <w:color w:val="auto"/>
          <w:kern w:val="1"/>
          <w:sz w:val="28"/>
          <w:szCs w:val="28"/>
          <w:highlight w:val="none"/>
          <w:lang w:eastAsia="zh-CN"/>
        </w:rPr>
        <w:t>供应商</w:t>
      </w:r>
      <w:r>
        <w:rPr>
          <w:rFonts w:hint="eastAsia" w:ascii="仿宋" w:hAnsi="仿宋" w:eastAsia="仿宋" w:cs="仿宋"/>
          <w:bCs/>
          <w:color w:val="auto"/>
          <w:kern w:val="1"/>
          <w:sz w:val="28"/>
          <w:szCs w:val="28"/>
          <w:highlight w:val="none"/>
        </w:rPr>
        <w:t>因违法经营受到刑事处罚或者责令停产停业、吊销许可证或者执照、较大数额罚款等行政处罚）</w:t>
      </w:r>
      <w:r>
        <w:rPr>
          <w:rFonts w:hint="eastAsia" w:ascii="仿宋" w:hAnsi="仿宋" w:eastAsia="仿宋" w:cs="仿宋"/>
          <w:color w:val="auto"/>
          <w:sz w:val="28"/>
          <w:szCs w:val="28"/>
          <w:highlight w:val="none"/>
        </w:rPr>
        <w:t>。</w:t>
      </w:r>
    </w:p>
    <w:p w14:paraId="3B268C79">
      <w:pPr>
        <w:pageBreakBefore w:val="0"/>
        <w:kinsoku/>
        <w:wordWrap w:val="0"/>
        <w:topLinePunct w:val="0"/>
        <w:bidi w:val="0"/>
        <w:adjustRightInd w:val="0"/>
        <w:snapToGrid w:val="0"/>
        <w:spacing w:line="500" w:lineRule="exact"/>
        <w:ind w:firstLine="465"/>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我方保证上述信息的真实和准确，并愿意承担因我方就此弄虚作假所引起的一切法律后果。</w:t>
      </w:r>
    </w:p>
    <w:p w14:paraId="3567ADDF">
      <w:pPr>
        <w:pageBreakBefore w:val="0"/>
        <w:kinsoku/>
        <w:wordWrap w:val="0"/>
        <w:topLinePunct w:val="0"/>
        <w:bidi w:val="0"/>
        <w:adjustRightInd w:val="0"/>
        <w:snapToGrid w:val="0"/>
        <w:spacing w:line="500" w:lineRule="exact"/>
        <w:ind w:firstLine="465"/>
        <w:jc w:val="left"/>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特此声明</w:t>
      </w:r>
    </w:p>
    <w:p w14:paraId="18374B5E">
      <w:pPr>
        <w:pageBreakBefore w:val="0"/>
        <w:kinsoku/>
        <w:wordWrap w:val="0"/>
        <w:topLinePunct w:val="0"/>
        <w:bidi w:val="0"/>
        <w:spacing w:line="500" w:lineRule="exact"/>
        <w:ind w:firstLine="2878" w:firstLineChars="1028"/>
        <w:rPr>
          <w:rFonts w:hint="eastAsia" w:ascii="仿宋" w:hAnsi="仿宋" w:eastAsia="仿宋" w:cs="仿宋"/>
          <w:color w:val="auto"/>
          <w:sz w:val="28"/>
          <w:szCs w:val="28"/>
          <w:highlight w:val="none"/>
        </w:rPr>
      </w:pPr>
    </w:p>
    <w:p w14:paraId="48E47374">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p>
    <w:p w14:paraId="0997A7F1">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11BD6DC8">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法定代表人或其委托代理人：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eastAsia="zh-CN"/>
        </w:rPr>
        <w:t xml:space="preserve">（签字） </w:t>
      </w:r>
    </w:p>
    <w:p w14:paraId="16DC073B">
      <w:pPr>
        <w:pageBreakBefore w:val="0"/>
        <w:kinsoku/>
        <w:wordWrap w:val="0"/>
        <w:topLinePunct w:val="0"/>
        <w:bidi w:val="0"/>
        <w:spacing w:line="360" w:lineRule="auto"/>
        <w:ind w:firstLine="1400" w:firstLineChars="500"/>
        <w:jc w:val="center"/>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日</w:t>
      </w:r>
    </w:p>
    <w:p w14:paraId="4F3B89F7">
      <w:pPr>
        <w:pageBreakBefore w:val="0"/>
        <w:kinsoku/>
        <w:wordWrap w:val="0"/>
        <w:topLinePunct w:val="0"/>
        <w:bidi w:val="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rPr>
        <w:br w:type="page"/>
      </w:r>
    </w:p>
    <w:p w14:paraId="276A4D8B">
      <w:pPr>
        <w:pageBreakBefore w:val="0"/>
        <w:numPr>
          <w:ilvl w:val="0"/>
          <w:numId w:val="5"/>
        </w:numPr>
        <w:kinsoku/>
        <w:wordWrap w:val="0"/>
        <w:topLinePunct w:val="0"/>
        <w:bidi w:val="0"/>
        <w:spacing w:line="500" w:lineRule="exact"/>
        <w:ind w:left="840" w:leftChars="0" w:firstLine="0" w:firstLineChars="0"/>
        <w:jc w:val="center"/>
        <w:outlineLvl w:val="9"/>
        <w:rPr>
          <w:rFonts w:hint="eastAsia" w:ascii="仿宋" w:hAnsi="仿宋" w:eastAsia="仿宋" w:cs="仿宋"/>
          <w:b/>
          <w:bCs/>
          <w:color w:val="auto"/>
          <w:sz w:val="28"/>
          <w:szCs w:val="28"/>
          <w:highlight w:val="none"/>
          <w:shd w:val="clear" w:color="auto" w:fill="auto"/>
        </w:rPr>
        <w:sectPr>
          <w:pgSz w:w="11900" w:h="16840"/>
          <w:pgMar w:top="1200" w:right="1280" w:bottom="240" w:left="760" w:header="768" w:footer="58" w:gutter="0"/>
          <w:pgBorders>
            <w:top w:val="none" w:sz="0" w:space="0"/>
            <w:left w:val="none" w:sz="0" w:space="0"/>
            <w:bottom w:val="none" w:sz="0" w:space="0"/>
            <w:right w:val="none" w:sz="0" w:space="0"/>
          </w:pgBorders>
          <w:pgNumType w:fmt="decimal"/>
          <w:cols w:space="720" w:num="1"/>
        </w:sectPr>
      </w:pPr>
    </w:p>
    <w:p w14:paraId="7EE63CDD">
      <w:pPr>
        <w:pageBreakBefore w:val="0"/>
        <w:numPr>
          <w:ilvl w:val="0"/>
          <w:numId w:val="0"/>
        </w:numPr>
        <w:kinsoku/>
        <w:wordWrap w:val="0"/>
        <w:topLinePunct w:val="0"/>
        <w:bidi w:val="0"/>
        <w:adjustRightInd w:val="0"/>
        <w:snapToGrid w:val="0"/>
        <w:spacing w:line="360" w:lineRule="auto"/>
        <w:jc w:val="both"/>
        <w:outlineLvl w:val="9"/>
        <w:rPr>
          <w:rFonts w:hint="eastAsia" w:ascii="仿宋" w:hAnsi="仿宋" w:eastAsia="仿宋" w:cs="仿宋"/>
          <w:b/>
          <w:bCs/>
          <w:color w:val="auto"/>
          <w:sz w:val="28"/>
          <w:szCs w:val="28"/>
          <w:highlight w:val="none"/>
          <w:lang w:eastAsia="zh-CN"/>
        </w:rPr>
      </w:pPr>
      <w:bookmarkStart w:id="411" w:name="_Toc8676"/>
      <w:bookmarkStart w:id="412" w:name="_Toc24689"/>
      <w:bookmarkStart w:id="413" w:name="_Toc25616"/>
      <w:bookmarkStart w:id="414" w:name="_Toc3657"/>
      <w:r>
        <w:rPr>
          <w:rFonts w:hint="eastAsia" w:ascii="仿宋" w:hAnsi="仿宋" w:eastAsia="仿宋" w:cs="仿宋"/>
          <w:b/>
          <w:color w:val="auto"/>
          <w:sz w:val="28"/>
          <w:szCs w:val="28"/>
          <w:highlight w:val="none"/>
          <w:lang w:eastAsia="zh-CN"/>
        </w:rPr>
        <w:t>附件</w:t>
      </w:r>
      <w:r>
        <w:rPr>
          <w:rFonts w:hint="eastAsia" w:ascii="仿宋" w:hAnsi="仿宋" w:eastAsia="仿宋" w:cs="仿宋"/>
          <w:b/>
          <w:color w:val="auto"/>
          <w:sz w:val="28"/>
          <w:szCs w:val="28"/>
          <w:highlight w:val="none"/>
          <w:lang w:val="en-US" w:eastAsia="zh-CN"/>
        </w:rPr>
        <w:t>3：</w:t>
      </w:r>
    </w:p>
    <w:p w14:paraId="5F48A4C7">
      <w:pPr>
        <w:pStyle w:val="34"/>
        <w:keepNext w:val="0"/>
        <w:keepLines w:val="0"/>
        <w:pageBreakBefore w:val="0"/>
        <w:widowControl/>
        <w:suppressLineNumbers w:val="0"/>
        <w:kinsoku/>
        <w:wordWrap w:val="0"/>
        <w:topLinePunct w:val="0"/>
        <w:bidi w:val="0"/>
        <w:spacing w:line="360" w:lineRule="auto"/>
        <w:ind w:left="0" w:firstLine="562" w:firstLineChars="200"/>
        <w:jc w:val="center"/>
        <w:outlineLvl w:val="9"/>
        <w:rPr>
          <w:rFonts w:hint="eastAsia" w:ascii="仿宋" w:hAnsi="仿宋" w:eastAsia="仿宋" w:cs="仿宋"/>
          <w:color w:val="auto"/>
          <w:kern w:val="1"/>
          <w:sz w:val="28"/>
          <w:szCs w:val="28"/>
          <w:highlight w:val="none"/>
          <w:u w:val="none"/>
          <w:lang w:val="en-US" w:eastAsia="zh-CN"/>
        </w:rPr>
      </w:pPr>
      <w:r>
        <w:rPr>
          <w:rFonts w:hint="eastAsia" w:ascii="仿宋" w:hAnsi="仿宋" w:eastAsia="仿宋" w:cs="仿宋"/>
          <w:b/>
          <w:bCs/>
          <w:color w:val="auto"/>
          <w:sz w:val="28"/>
          <w:szCs w:val="28"/>
          <w:highlight w:val="none"/>
        </w:rPr>
        <w:t>单位法人为同一人或存在控股、管理关系的不同单位，</w:t>
      </w:r>
      <w:r>
        <w:rPr>
          <w:rFonts w:hint="eastAsia" w:ascii="仿宋" w:hAnsi="仿宋" w:eastAsia="仿宋" w:cs="仿宋"/>
          <w:b/>
          <w:bCs/>
          <w:color w:val="auto"/>
          <w:sz w:val="28"/>
          <w:szCs w:val="28"/>
          <w:highlight w:val="none"/>
          <w:lang w:eastAsia="zh-CN"/>
        </w:rPr>
        <w:t>没有</w:t>
      </w:r>
      <w:r>
        <w:rPr>
          <w:rFonts w:hint="eastAsia" w:ascii="仿宋" w:hAnsi="仿宋" w:eastAsia="仿宋" w:cs="仿宋"/>
          <w:b/>
          <w:bCs/>
          <w:color w:val="auto"/>
          <w:sz w:val="28"/>
          <w:szCs w:val="28"/>
          <w:highlight w:val="none"/>
        </w:rPr>
        <w:t>参加同一标段投标或者未划分标段的同一招标项目投标的</w:t>
      </w:r>
      <w:r>
        <w:rPr>
          <w:rFonts w:hint="eastAsia" w:ascii="仿宋" w:hAnsi="仿宋" w:eastAsia="仿宋" w:cs="仿宋"/>
          <w:b/>
          <w:bCs/>
          <w:color w:val="auto"/>
          <w:kern w:val="1"/>
          <w:sz w:val="28"/>
          <w:szCs w:val="28"/>
          <w:highlight w:val="none"/>
          <w:u w:val="none"/>
        </w:rPr>
        <w:t>承诺书</w:t>
      </w:r>
      <w:bookmarkEnd w:id="411"/>
      <w:bookmarkEnd w:id="412"/>
      <w:bookmarkEnd w:id="413"/>
      <w:bookmarkEnd w:id="414"/>
    </w:p>
    <w:p w14:paraId="31ED6129">
      <w:pPr>
        <w:pStyle w:val="34"/>
        <w:keepNext w:val="0"/>
        <w:keepLines w:val="0"/>
        <w:pageBreakBefore w:val="0"/>
        <w:widowControl/>
        <w:suppressLineNumbers w:val="0"/>
        <w:kinsoku/>
        <w:wordWrap w:val="0"/>
        <w:topLinePunct w:val="0"/>
        <w:bidi w:val="0"/>
        <w:spacing w:line="360" w:lineRule="auto"/>
        <w:ind w:left="0" w:firstLine="560" w:firstLineChars="200"/>
        <w:rPr>
          <w:rFonts w:hint="eastAsia" w:ascii="仿宋" w:hAnsi="仿宋" w:eastAsia="仿宋" w:cs="仿宋"/>
          <w:color w:val="auto"/>
          <w:kern w:val="1"/>
          <w:sz w:val="28"/>
          <w:szCs w:val="28"/>
          <w:highlight w:val="none"/>
          <w:u w:val="none"/>
          <w:lang w:val="en-US" w:eastAsia="zh-CN"/>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eastAsia="zh-CN"/>
        </w:rPr>
        <w:t>采购人</w:t>
      </w:r>
      <w:r>
        <w:rPr>
          <w:rFonts w:hint="eastAsia" w:ascii="仿宋" w:hAnsi="仿宋" w:eastAsia="仿宋" w:cs="仿宋"/>
          <w:color w:val="auto"/>
          <w:sz w:val="28"/>
          <w:szCs w:val="28"/>
          <w:highlight w:val="none"/>
          <w:u w:val="single"/>
        </w:rPr>
        <w:t xml:space="preserve">名称）       </w:t>
      </w:r>
      <w:r>
        <w:rPr>
          <w:rFonts w:hint="eastAsia" w:ascii="仿宋" w:hAnsi="仿宋" w:eastAsia="仿宋" w:cs="仿宋"/>
          <w:color w:val="auto"/>
          <w:sz w:val="28"/>
          <w:szCs w:val="28"/>
          <w:highlight w:val="none"/>
          <w:u w:val="single"/>
          <w:lang w:eastAsia="zh-CN"/>
        </w:rPr>
        <w:t>：</w:t>
      </w:r>
    </w:p>
    <w:p w14:paraId="504A6FB0">
      <w:pPr>
        <w:pStyle w:val="34"/>
        <w:keepNext w:val="0"/>
        <w:keepLines w:val="0"/>
        <w:pageBreakBefore w:val="0"/>
        <w:widowControl/>
        <w:suppressLineNumbers w:val="0"/>
        <w:kinsoku/>
        <w:wordWrap w:val="0"/>
        <w:topLinePunct w:val="0"/>
        <w:bidi w:val="0"/>
        <w:spacing w:line="360" w:lineRule="auto"/>
        <w:ind w:left="0" w:firstLine="560" w:firstLineChars="200"/>
        <w:rPr>
          <w:rFonts w:hint="eastAsia" w:ascii="仿宋" w:hAnsi="仿宋" w:eastAsia="仿宋" w:cs="仿宋"/>
          <w:color w:val="auto"/>
          <w:kern w:val="1"/>
          <w:sz w:val="28"/>
          <w:szCs w:val="28"/>
          <w:highlight w:val="none"/>
          <w:u w:val="none"/>
          <w:lang w:val="en-US" w:eastAsia="zh-CN"/>
        </w:rPr>
      </w:pPr>
      <w:r>
        <w:rPr>
          <w:rFonts w:hint="eastAsia" w:ascii="仿宋" w:hAnsi="仿宋" w:eastAsia="仿宋" w:cs="仿宋"/>
          <w:color w:val="auto"/>
          <w:kern w:val="1"/>
          <w:sz w:val="28"/>
          <w:szCs w:val="28"/>
          <w:highlight w:val="none"/>
          <w:u w:val="none"/>
          <w:lang w:val="en-US" w:eastAsia="zh-CN"/>
        </w:rPr>
        <w:t>我公司参加贵单位</w:t>
      </w:r>
      <w:r>
        <w:rPr>
          <w:rFonts w:hint="eastAsia" w:ascii="仿宋" w:hAnsi="仿宋" w:eastAsia="仿宋" w:cs="仿宋"/>
          <w:color w:val="auto"/>
          <w:kern w:val="1"/>
          <w:sz w:val="28"/>
          <w:szCs w:val="28"/>
          <w:highlight w:val="none"/>
          <w:u w:val="single"/>
          <w:lang w:val="en-US" w:eastAsia="zh-CN"/>
        </w:rPr>
        <w:t>（项目名称）</w:t>
      </w:r>
      <w:r>
        <w:rPr>
          <w:rFonts w:hint="eastAsia" w:ascii="仿宋" w:hAnsi="仿宋" w:eastAsia="仿宋" w:cs="仿宋"/>
          <w:color w:val="auto"/>
          <w:kern w:val="1"/>
          <w:sz w:val="28"/>
          <w:szCs w:val="28"/>
          <w:highlight w:val="none"/>
          <w:u w:val="none"/>
          <w:lang w:val="en-US" w:eastAsia="zh-CN"/>
        </w:rPr>
        <w:t>的采购活动，现郑重承诺： 在参加本次采购活动中</w:t>
      </w:r>
      <w:r>
        <w:rPr>
          <w:rFonts w:hint="eastAsia" w:ascii="仿宋" w:hAnsi="仿宋" w:eastAsia="仿宋" w:cs="仿宋"/>
          <w:b/>
          <w:bCs/>
          <w:color w:val="auto"/>
          <w:kern w:val="1"/>
          <w:sz w:val="28"/>
          <w:szCs w:val="28"/>
          <w:highlight w:val="none"/>
          <w:u w:val="none"/>
          <w:lang w:val="en-US" w:eastAsia="zh-CN"/>
        </w:rPr>
        <w:t>不存在</w:t>
      </w:r>
      <w:r>
        <w:rPr>
          <w:rFonts w:hint="eastAsia" w:ascii="仿宋" w:hAnsi="仿宋" w:eastAsia="仿宋" w:cs="仿宋"/>
          <w:b/>
          <w:bCs w:val="0"/>
          <w:color w:val="auto"/>
          <w:kern w:val="0"/>
          <w:sz w:val="28"/>
          <w:szCs w:val="28"/>
          <w:highlight w:val="none"/>
          <w:lang w:val="en-US" w:eastAsia="zh-CN"/>
        </w:rPr>
        <w:t>单位法人为同一人或者存在控股、管理关系的不同单位，参加同一标段投标或者未划分标段的同一招标项目投标的情形，</w:t>
      </w:r>
      <w:r>
        <w:rPr>
          <w:rFonts w:hint="eastAsia" w:ascii="仿宋" w:hAnsi="仿宋" w:eastAsia="仿宋" w:cs="仿宋"/>
          <w:b/>
          <w:bCs w:val="0"/>
          <w:color w:val="auto"/>
          <w:kern w:val="1"/>
          <w:sz w:val="28"/>
          <w:szCs w:val="28"/>
          <w:highlight w:val="none"/>
          <w:u w:val="none"/>
          <w:lang w:val="en-US" w:eastAsia="zh-CN"/>
        </w:rPr>
        <w:t xml:space="preserve"> </w:t>
      </w:r>
      <w:r>
        <w:rPr>
          <w:rFonts w:hint="eastAsia" w:ascii="仿宋" w:hAnsi="仿宋" w:eastAsia="仿宋" w:cs="仿宋"/>
          <w:color w:val="auto"/>
          <w:kern w:val="1"/>
          <w:sz w:val="28"/>
          <w:szCs w:val="28"/>
          <w:highlight w:val="none"/>
          <w:u w:val="none"/>
          <w:lang w:val="en-US" w:eastAsia="zh-CN"/>
        </w:rPr>
        <w:t>本公司对上述承诺的真实性负责。 如有虚假， 将依法承担相应责任。</w:t>
      </w:r>
    </w:p>
    <w:p w14:paraId="66ADA345">
      <w:pPr>
        <w:pStyle w:val="34"/>
        <w:keepNext w:val="0"/>
        <w:keepLines w:val="0"/>
        <w:pageBreakBefore w:val="0"/>
        <w:widowControl/>
        <w:suppressLineNumbers w:val="0"/>
        <w:kinsoku/>
        <w:wordWrap w:val="0"/>
        <w:topLinePunct w:val="0"/>
        <w:bidi w:val="0"/>
        <w:spacing w:line="240" w:lineRule="auto"/>
        <w:ind w:left="0" w:firstLine="560" w:firstLineChars="200"/>
        <w:rPr>
          <w:rFonts w:hint="eastAsia" w:ascii="仿宋" w:hAnsi="仿宋" w:eastAsia="仿宋" w:cs="仿宋"/>
          <w:color w:val="auto"/>
          <w:kern w:val="1"/>
          <w:sz w:val="28"/>
          <w:szCs w:val="28"/>
          <w:highlight w:val="none"/>
          <w:u w:val="none"/>
          <w:lang w:val="en-US" w:eastAsia="zh-CN"/>
        </w:rPr>
      </w:pPr>
      <w:r>
        <w:rPr>
          <w:rFonts w:hint="eastAsia" w:ascii="仿宋" w:hAnsi="仿宋" w:eastAsia="仿宋" w:cs="仿宋"/>
          <w:color w:val="auto"/>
          <w:kern w:val="1"/>
          <w:sz w:val="28"/>
          <w:szCs w:val="28"/>
          <w:highlight w:val="none"/>
          <w:u w:val="none"/>
          <w:lang w:val="en-US" w:eastAsia="zh-CN"/>
        </w:rPr>
        <w:t>特此承诺！</w:t>
      </w:r>
    </w:p>
    <w:p w14:paraId="34A771B5">
      <w:pPr>
        <w:pageBreakBefore w:val="0"/>
        <w:widowControl w:val="0"/>
        <w:numPr>
          <w:ilvl w:val="0"/>
          <w:numId w:val="0"/>
        </w:numPr>
        <w:kinsoku/>
        <w:wordWrap w:val="0"/>
        <w:topLinePunct w:val="0"/>
        <w:bidi w:val="0"/>
        <w:spacing w:after="200" w:line="500" w:lineRule="exact"/>
        <w:jc w:val="center"/>
        <w:outlineLvl w:val="9"/>
        <w:rPr>
          <w:rFonts w:hint="eastAsia" w:ascii="仿宋" w:hAnsi="仿宋" w:eastAsia="仿宋" w:cs="仿宋"/>
          <w:b/>
          <w:bCs/>
          <w:color w:val="auto"/>
          <w:sz w:val="28"/>
          <w:szCs w:val="28"/>
          <w:highlight w:val="none"/>
          <w:shd w:val="clear" w:color="auto" w:fill="auto"/>
        </w:rPr>
      </w:pPr>
    </w:p>
    <w:p w14:paraId="40E3E323">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5ABE51A7">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法定代表人或其委托代理人：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eastAsia="zh-CN"/>
        </w:rPr>
        <w:t xml:space="preserve">（签字） </w:t>
      </w:r>
    </w:p>
    <w:p w14:paraId="0CA0E729">
      <w:pPr>
        <w:pageBreakBefore w:val="0"/>
        <w:kinsoku/>
        <w:wordWrap w:val="0"/>
        <w:topLinePunct w:val="0"/>
        <w:bidi w:val="0"/>
        <w:spacing w:line="360" w:lineRule="auto"/>
        <w:ind w:firstLine="1400" w:firstLineChars="500"/>
        <w:jc w:val="center"/>
        <w:outlineLvl w:val="9"/>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日</w:t>
      </w:r>
    </w:p>
    <w:p w14:paraId="3EEA55A9">
      <w:pPr>
        <w:widowControl/>
        <w:jc w:val="left"/>
        <w:rPr>
          <w:rFonts w:hint="eastAsia" w:ascii="仿宋" w:hAnsi="仿宋" w:eastAsia="仿宋" w:cs="仿宋"/>
          <w:b/>
          <w:snapToGrid/>
          <w:color w:val="000000" w:themeColor="text1"/>
          <w:kern w:val="0"/>
          <w:sz w:val="28"/>
          <w:szCs w:val="28"/>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br w:type="page"/>
      </w:r>
    </w:p>
    <w:bookmarkEnd w:id="403"/>
    <w:bookmarkEnd w:id="404"/>
    <w:bookmarkEnd w:id="405"/>
    <w:bookmarkEnd w:id="406"/>
    <w:bookmarkEnd w:id="407"/>
    <w:p w14:paraId="5612A38C">
      <w:pPr>
        <w:pStyle w:val="34"/>
        <w:spacing w:before="0" w:beforeAutospacing="0" w:after="0" w:afterAutospacing="0" w:line="360" w:lineRule="auto"/>
        <w:contextualSpacing/>
        <w:jc w:val="center"/>
        <w:outlineLvl w:val="1"/>
        <w:rPr>
          <w:rFonts w:hint="eastAsia" w:ascii="仿宋" w:hAnsi="仿宋" w:eastAsia="仿宋" w:cs="仿宋"/>
          <w:b/>
          <w:color w:val="000000" w:themeColor="text1"/>
          <w:sz w:val="28"/>
          <w:szCs w:val="28"/>
          <w14:textFill>
            <w14:solidFill>
              <w14:schemeClr w14:val="tx1"/>
            </w14:solidFill>
          </w14:textFill>
        </w:rPr>
      </w:pPr>
      <w:bookmarkStart w:id="415" w:name="_Toc6496670"/>
      <w:bookmarkStart w:id="416" w:name="_Toc46924580"/>
      <w:bookmarkStart w:id="417" w:name="_Toc494043354"/>
      <w:bookmarkStart w:id="418" w:name="_Toc491307500"/>
      <w:bookmarkStart w:id="419" w:name="_Toc491307380"/>
      <w:bookmarkStart w:id="420" w:name="_Toc481694857"/>
      <w:bookmarkStart w:id="421" w:name="_Toc488633629"/>
      <w:bookmarkStart w:id="422" w:name="_Toc491307318"/>
      <w:r>
        <w:rPr>
          <w:rFonts w:hint="eastAsia" w:ascii="仿宋" w:hAnsi="仿宋" w:eastAsia="仿宋" w:cs="仿宋"/>
          <w:b/>
          <w:color w:val="000000" w:themeColor="text1"/>
          <w:sz w:val="28"/>
          <w:szCs w:val="28"/>
          <w:lang w:eastAsia="zh-CN"/>
          <w14:textFill>
            <w14:solidFill>
              <w14:schemeClr w14:val="tx1"/>
            </w14:solidFill>
          </w14:textFill>
        </w:rPr>
        <w:t>四、</w:t>
      </w:r>
      <w:r>
        <w:rPr>
          <w:rFonts w:hint="eastAsia" w:ascii="仿宋" w:hAnsi="仿宋" w:eastAsia="仿宋" w:cs="仿宋"/>
          <w:b/>
          <w:color w:val="000000" w:themeColor="text1"/>
          <w:sz w:val="28"/>
          <w:szCs w:val="28"/>
          <w14:textFill>
            <w14:solidFill>
              <w14:schemeClr w14:val="tx1"/>
            </w14:solidFill>
          </w14:textFill>
        </w:rPr>
        <w:t>法定代表人身份证明书</w:t>
      </w:r>
      <w:bookmarkEnd w:id="415"/>
      <w:bookmarkEnd w:id="416"/>
      <w:bookmarkEnd w:id="417"/>
      <w:bookmarkEnd w:id="418"/>
      <w:bookmarkEnd w:id="419"/>
      <w:bookmarkEnd w:id="420"/>
      <w:bookmarkEnd w:id="421"/>
      <w:bookmarkEnd w:id="422"/>
    </w:p>
    <w:p w14:paraId="17E7023E">
      <w:pPr>
        <w:spacing w:line="440" w:lineRule="exact"/>
        <w:jc w:val="center"/>
        <w:rPr>
          <w:rFonts w:hint="eastAsia" w:ascii="仿宋" w:hAnsi="仿宋" w:eastAsia="仿宋" w:cs="仿宋"/>
          <w:b/>
          <w:color w:val="000000" w:themeColor="text1"/>
          <w:sz w:val="28"/>
          <w:szCs w:val="28"/>
          <w14:textFill>
            <w14:solidFill>
              <w14:schemeClr w14:val="tx1"/>
            </w14:solidFill>
          </w14:textFill>
        </w:rPr>
      </w:pPr>
    </w:p>
    <w:p w14:paraId="7BB0082D">
      <w:pPr>
        <w:spacing w:line="360" w:lineRule="auto"/>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供应商名称：</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5C621443">
      <w:pPr>
        <w:spacing w:line="360" w:lineRule="auto"/>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单位性质：</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0A6736D8">
      <w:pPr>
        <w:spacing w:line="360" w:lineRule="auto"/>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    址：</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2DAFC7FD">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成立时间：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14:paraId="3F77CAAE">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经营期限：</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2750D4C0">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姓名：</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性别：</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年龄：</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职务：</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1801E986">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（供应商名称）的法定代表人。</w:t>
      </w:r>
    </w:p>
    <w:p w14:paraId="26AF2323">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p>
    <w:p w14:paraId="62A5D56F">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特此证明。</w:t>
      </w:r>
    </w:p>
    <w:p w14:paraId="5E45C7CF">
      <w:pPr>
        <w:spacing w:line="360" w:lineRule="auto"/>
        <w:rPr>
          <w:rFonts w:hint="eastAsia" w:ascii="仿宋" w:hAnsi="仿宋" w:eastAsia="仿宋" w:cs="仿宋"/>
          <w:color w:val="000000" w:themeColor="text1"/>
          <w:sz w:val="28"/>
          <w:szCs w:val="28"/>
          <w14:textFill>
            <w14:solidFill>
              <w14:schemeClr w14:val="tx1"/>
            </w14:solidFill>
          </w14:textFill>
        </w:rPr>
      </w:pPr>
    </w:p>
    <w:p w14:paraId="451F4783">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lang w:val="en-US" w:eastAsia="zh-CN" w:bidi="ar-SA"/>
        </w:rPr>
        <w:t>供</w:t>
      </w:r>
      <w:r>
        <w:rPr>
          <w:rFonts w:hint="eastAsia" w:ascii="仿宋" w:hAnsi="仿宋" w:eastAsia="仿宋" w:cs="仿宋"/>
          <w:color w:val="auto"/>
          <w:sz w:val="28"/>
          <w:szCs w:val="28"/>
          <w:highlight w:val="none"/>
          <w:lang w:eastAsia="zh-CN"/>
        </w:rPr>
        <w:t>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6BC536D1">
      <w:pPr>
        <w:pStyle w:val="19"/>
        <w:spacing w:line="360" w:lineRule="auto"/>
        <w:ind w:firstLine="1400" w:firstLineChars="500"/>
        <w:jc w:val="left"/>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日</w:t>
      </w:r>
    </w:p>
    <w:p w14:paraId="00AD5A23">
      <w:pPr>
        <w:pStyle w:val="19"/>
        <w:spacing w:line="360" w:lineRule="auto"/>
        <w:jc w:val="lef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注:</w:t>
      </w:r>
    </w:p>
    <w:p w14:paraId="057A8F06">
      <w:pPr>
        <w:pStyle w:val="19"/>
        <w:spacing w:line="360" w:lineRule="auto"/>
        <w:ind w:firstLine="442" w:firstLineChars="200"/>
        <w:jc w:val="left"/>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1.法定代表人提交响应文件的，应提供本人有效居民身份证（如非中国国籍应提供护照）原件交由工作人员现场登记。</w:t>
      </w:r>
    </w:p>
    <w:p w14:paraId="21A63697">
      <w:pPr>
        <w:pStyle w:val="19"/>
        <w:spacing w:line="360" w:lineRule="auto"/>
        <w:ind w:firstLine="442" w:firstLineChars="200"/>
        <w:jc w:val="left"/>
        <w:outlineLvl w:val="9"/>
        <w:rPr>
          <w:rFonts w:hint="eastAsia" w:ascii="仿宋" w:hAnsi="仿宋" w:eastAsia="仿宋" w:cs="仿宋"/>
          <w:b/>
          <w:bCs/>
          <w:color w:val="000000" w:themeColor="text1"/>
          <w:sz w:val="22"/>
          <w:szCs w:val="22"/>
          <w14:textFill>
            <w14:solidFill>
              <w14:schemeClr w14:val="tx1"/>
            </w14:solidFill>
          </w14:textFill>
        </w:rPr>
      </w:pPr>
      <w:r>
        <w:rPr>
          <w:rFonts w:hint="eastAsia" w:ascii="仿宋" w:hAnsi="仿宋" w:eastAsia="仿宋" w:cs="仿宋"/>
          <w:b/>
          <w:bCs/>
          <w:color w:val="000000" w:themeColor="text1"/>
          <w:sz w:val="22"/>
          <w:szCs w:val="22"/>
          <w14:textFill>
            <w14:solidFill>
              <w14:schemeClr w14:val="tx1"/>
            </w14:solidFill>
          </w14:textFill>
        </w:rPr>
        <w:t>2.在响应文件中附法定代表人有效居民身份证复印件。</w:t>
      </w:r>
      <w:bookmarkStart w:id="423" w:name="_Toc491307501"/>
      <w:bookmarkStart w:id="424" w:name="_Toc491307319"/>
      <w:bookmarkStart w:id="425" w:name="_Toc491307381"/>
      <w:bookmarkStart w:id="426" w:name="_Toc494043355"/>
    </w:p>
    <w:p w14:paraId="47303F14">
      <w:pPr>
        <w:rPr>
          <w:rFonts w:hint="eastAsia" w:ascii="仿宋" w:hAnsi="仿宋" w:eastAsia="仿宋" w:cs="仿宋"/>
          <w:color w:val="000000" w:themeColor="text1"/>
          <w14:textFill>
            <w14:solidFill>
              <w14:schemeClr w14:val="tx1"/>
            </w14:solidFill>
          </w14:textFill>
        </w:rPr>
      </w:pPr>
    </w:p>
    <w:p w14:paraId="116008BD">
      <w:pPr>
        <w:rPr>
          <w:rFonts w:hint="eastAsia" w:ascii="仿宋" w:hAnsi="仿宋" w:eastAsia="仿宋" w:cs="仿宋"/>
          <w:color w:val="000000" w:themeColor="text1"/>
          <w14:textFill>
            <w14:solidFill>
              <w14:schemeClr w14:val="tx1"/>
            </w14:solidFill>
          </w14:textFill>
        </w:rPr>
      </w:pPr>
    </w:p>
    <w:p w14:paraId="6FC5FC23">
      <w:pPr>
        <w:rPr>
          <w:rFonts w:hint="eastAsia" w:ascii="仿宋" w:hAnsi="仿宋" w:eastAsia="仿宋" w:cs="仿宋"/>
          <w:color w:val="000000" w:themeColor="text1"/>
          <w14:textFill>
            <w14:solidFill>
              <w14:schemeClr w14:val="tx1"/>
            </w14:solidFill>
          </w14:textFill>
        </w:rPr>
      </w:pPr>
    </w:p>
    <w:p w14:paraId="2804B8C2">
      <w:pPr>
        <w:rPr>
          <w:rFonts w:hint="eastAsia" w:ascii="仿宋" w:hAnsi="仿宋" w:eastAsia="仿宋" w:cs="仿宋"/>
          <w:b/>
          <w:snapToGrid/>
          <w:color w:val="000000" w:themeColor="text1"/>
          <w:kern w:val="0"/>
          <w:sz w:val="28"/>
          <w:szCs w:val="28"/>
          <w14:textFill>
            <w14:solidFill>
              <w14:schemeClr w14:val="tx1"/>
            </w14:solidFill>
          </w14:textFill>
        </w:rPr>
      </w:pPr>
      <w:r>
        <w:rPr>
          <w:rFonts w:hint="eastAsia" w:ascii="仿宋" w:hAnsi="仿宋" w:eastAsia="仿宋" w:cs="仿宋"/>
          <w:b/>
          <w:snapToGrid/>
          <w:color w:val="000000" w:themeColor="text1"/>
          <w:kern w:val="0"/>
          <w:sz w:val="28"/>
          <w:szCs w:val="28"/>
          <w14:textFill>
            <w14:solidFill>
              <w14:schemeClr w14:val="tx1"/>
            </w14:solidFill>
          </w14:textFill>
        </w:rPr>
        <w:br w:type="page"/>
      </w:r>
    </w:p>
    <w:bookmarkEnd w:id="423"/>
    <w:bookmarkEnd w:id="424"/>
    <w:bookmarkEnd w:id="425"/>
    <w:bookmarkEnd w:id="426"/>
    <w:p w14:paraId="2DDAB0E6">
      <w:pPr>
        <w:pStyle w:val="34"/>
        <w:spacing w:before="0" w:beforeAutospacing="0" w:after="0" w:afterAutospacing="0" w:line="360" w:lineRule="auto"/>
        <w:contextualSpacing/>
        <w:jc w:val="center"/>
        <w:outlineLvl w:val="1"/>
        <w:rPr>
          <w:rFonts w:hint="eastAsia" w:ascii="仿宋" w:hAnsi="仿宋" w:eastAsia="仿宋" w:cs="仿宋"/>
          <w:b/>
          <w:color w:val="000000" w:themeColor="text1"/>
          <w:sz w:val="28"/>
          <w:szCs w:val="28"/>
          <w14:textFill>
            <w14:solidFill>
              <w14:schemeClr w14:val="tx1"/>
            </w14:solidFill>
          </w14:textFill>
        </w:rPr>
      </w:pPr>
      <w:bookmarkStart w:id="427" w:name="_Toc481694858"/>
      <w:bookmarkStart w:id="428" w:name="_Toc213141107"/>
      <w:bookmarkStart w:id="429" w:name="_Toc46924581"/>
      <w:bookmarkStart w:id="430" w:name="_Toc491307320"/>
      <w:bookmarkStart w:id="431" w:name="_Toc6496671"/>
      <w:bookmarkStart w:id="432" w:name="_Toc488633630"/>
      <w:bookmarkStart w:id="433" w:name="_Toc491307382"/>
      <w:bookmarkStart w:id="434" w:name="_Toc491307502"/>
      <w:bookmarkStart w:id="435" w:name="_Toc494043356"/>
      <w:r>
        <w:rPr>
          <w:rFonts w:hint="eastAsia" w:ascii="仿宋" w:hAnsi="仿宋" w:eastAsia="仿宋" w:cs="仿宋"/>
          <w:b/>
          <w:color w:val="000000" w:themeColor="text1"/>
          <w:sz w:val="28"/>
          <w:szCs w:val="28"/>
          <w:lang w:eastAsia="zh-CN"/>
          <w14:textFill>
            <w14:solidFill>
              <w14:schemeClr w14:val="tx1"/>
            </w14:solidFill>
          </w14:textFill>
        </w:rPr>
        <w:t>五、</w:t>
      </w:r>
      <w:r>
        <w:rPr>
          <w:rFonts w:hint="eastAsia" w:ascii="仿宋" w:hAnsi="仿宋" w:eastAsia="仿宋" w:cs="仿宋"/>
          <w:b/>
          <w:color w:val="000000" w:themeColor="text1"/>
          <w:sz w:val="28"/>
          <w:szCs w:val="28"/>
          <w14:textFill>
            <w14:solidFill>
              <w14:schemeClr w14:val="tx1"/>
            </w14:solidFill>
          </w14:textFill>
        </w:rPr>
        <w:t>法定代表人授权委托书</w:t>
      </w:r>
      <w:bookmarkEnd w:id="427"/>
      <w:bookmarkEnd w:id="428"/>
      <w:bookmarkEnd w:id="429"/>
      <w:bookmarkEnd w:id="430"/>
      <w:bookmarkEnd w:id="431"/>
      <w:bookmarkEnd w:id="432"/>
      <w:bookmarkEnd w:id="433"/>
      <w:bookmarkEnd w:id="434"/>
      <w:bookmarkEnd w:id="435"/>
    </w:p>
    <w:p w14:paraId="289DC6F0">
      <w:pPr>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本授权委托书声明</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（供应商全称）  </w:t>
      </w:r>
      <w:r>
        <w:rPr>
          <w:rFonts w:hint="eastAsia" w:ascii="仿宋" w:hAnsi="仿宋" w:eastAsia="仿宋" w:cs="仿宋"/>
          <w:color w:val="000000" w:themeColor="text1"/>
          <w:sz w:val="28"/>
          <w:szCs w:val="28"/>
          <w14:textFill>
            <w14:solidFill>
              <w14:schemeClr w14:val="tx1"/>
            </w14:solidFill>
          </w14:textFill>
        </w:rPr>
        <w:t>的法定代表人代表本公司授权</w:t>
      </w:r>
      <w:r>
        <w:rPr>
          <w:rFonts w:hint="eastAsia" w:ascii="仿宋" w:hAnsi="仿宋" w:eastAsia="仿宋" w:cs="仿宋"/>
          <w:color w:val="000000" w:themeColor="text1"/>
          <w:sz w:val="28"/>
          <w:szCs w:val="28"/>
          <w:u w:val="single"/>
          <w14:textFill>
            <w14:solidFill>
              <w14:schemeClr w14:val="tx1"/>
            </w14:solidFill>
          </w14:textFill>
        </w:rPr>
        <w:t>（委托代理人姓名）</w:t>
      </w:r>
      <w:r>
        <w:rPr>
          <w:rFonts w:hint="eastAsia" w:ascii="仿宋" w:hAnsi="仿宋" w:eastAsia="仿宋" w:cs="仿宋"/>
          <w:color w:val="000000" w:themeColor="text1"/>
          <w:sz w:val="28"/>
          <w:szCs w:val="28"/>
          <w14:textFill>
            <w14:solidFill>
              <w14:schemeClr w14:val="tx1"/>
            </w14:solidFill>
          </w14:textFill>
        </w:rPr>
        <w:t>为本公司合法代理人，就贵方组织的有关</w:t>
      </w:r>
      <w:r>
        <w:rPr>
          <w:rFonts w:hint="eastAsia" w:ascii="仿宋" w:hAnsi="仿宋" w:eastAsia="仿宋" w:cs="仿宋"/>
          <w:color w:val="000000" w:themeColor="text1"/>
          <w:sz w:val="28"/>
          <w:szCs w:val="28"/>
          <w:u w:val="single"/>
          <w14:textFill>
            <w14:solidFill>
              <w14:schemeClr w14:val="tx1"/>
            </w14:solidFill>
          </w14:textFill>
        </w:rPr>
        <w:t>（项目名称）</w:t>
      </w:r>
      <w:r>
        <w:rPr>
          <w:rFonts w:hint="eastAsia" w:ascii="仿宋" w:hAnsi="仿宋" w:eastAsia="仿宋" w:cs="仿宋"/>
          <w:color w:val="000000" w:themeColor="text1"/>
          <w:sz w:val="28"/>
          <w:szCs w:val="28"/>
          <w14:textFill>
            <w14:solidFill>
              <w14:schemeClr w14:val="tx1"/>
            </w14:solidFill>
          </w14:textFill>
        </w:rPr>
        <w:t>项目（项目编号：</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）的竞争性磋商，以本单位名义参加。代理人在本项目磋商过程中所签署的一切文件和处理与之有关的一切事务，我方均予承认。</w:t>
      </w:r>
    </w:p>
    <w:p w14:paraId="01415E60">
      <w:pPr>
        <w:pStyle w:val="19"/>
        <w:spacing w:line="360" w:lineRule="auto"/>
        <w:ind w:firstLine="42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代理人无转委托权，特此委托</w:t>
      </w:r>
      <w:r>
        <w:rPr>
          <w:rFonts w:hint="eastAsia" w:ascii="仿宋" w:hAnsi="仿宋" w:eastAsia="仿宋" w:cs="仿宋"/>
          <w:color w:val="000000" w:themeColor="text1"/>
          <w:sz w:val="28"/>
          <w:szCs w:val="28"/>
          <w14:textFill>
            <w14:solidFill>
              <w14:schemeClr w14:val="tx1"/>
            </w14:solidFill>
          </w14:textFill>
        </w:rPr>
        <w:t>。</w:t>
      </w:r>
    </w:p>
    <w:p w14:paraId="5E21C753">
      <w:pPr>
        <w:pStyle w:val="19"/>
        <w:spacing w:line="360" w:lineRule="auto"/>
        <w:jc w:val="left"/>
        <w:rPr>
          <w:rFonts w:hint="eastAsia" w:ascii="仿宋" w:hAnsi="仿宋" w:eastAsia="仿宋" w:cs="仿宋"/>
          <w:color w:val="000000" w:themeColor="text1"/>
          <w:szCs w:val="21"/>
          <w14:textFill>
            <w14:solidFill>
              <w14:schemeClr w14:val="tx1"/>
            </w14:solidFill>
          </w14:textFill>
        </w:rPr>
      </w:pPr>
    </w:p>
    <w:p w14:paraId="37EEF615">
      <w:pPr>
        <w:pageBreakBefore w:val="0"/>
        <w:wordWrap w:val="0"/>
        <w:overflowPunct/>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盖单位公章</w:t>
      </w:r>
      <w:r>
        <w:rPr>
          <w:rFonts w:hint="eastAsia" w:ascii="仿宋" w:hAnsi="仿宋" w:eastAsia="仿宋" w:cs="仿宋"/>
          <w:color w:val="auto"/>
          <w:sz w:val="28"/>
          <w:szCs w:val="28"/>
          <w:highlight w:val="none"/>
        </w:rPr>
        <w:t>）</w:t>
      </w:r>
    </w:p>
    <w:p w14:paraId="1447208A">
      <w:pPr>
        <w:pageBreakBefore w:val="0"/>
        <w:wordWrap w:val="0"/>
        <w:overflowPunct/>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法定代表人：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w:t>
      </w:r>
    </w:p>
    <w:p w14:paraId="59EFCF75">
      <w:pPr>
        <w:pageBreakBefore w:val="0"/>
        <w:wordWrap w:val="0"/>
        <w:overflowPunct/>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法定代表人身份证号码：</w:t>
      </w:r>
      <w:r>
        <w:rPr>
          <w:rFonts w:hint="eastAsia" w:ascii="仿宋" w:hAnsi="仿宋" w:eastAsia="仿宋" w:cs="仿宋"/>
          <w:color w:val="auto"/>
          <w:sz w:val="28"/>
          <w:szCs w:val="28"/>
          <w:highlight w:val="none"/>
          <w:u w:val="single"/>
        </w:rPr>
        <w:t xml:space="preserve">                       </w:t>
      </w:r>
    </w:p>
    <w:p w14:paraId="6399B708">
      <w:pPr>
        <w:pageBreakBefore w:val="0"/>
        <w:wordWrap w:val="0"/>
        <w:overflowPunct/>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w:t>
      </w:r>
    </w:p>
    <w:p w14:paraId="6C81B85F">
      <w:pPr>
        <w:pageBreakBefore w:val="0"/>
        <w:wordWrap w:val="0"/>
        <w:overflowPunct/>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委托代理人身份证号码：</w:t>
      </w:r>
      <w:r>
        <w:rPr>
          <w:rFonts w:hint="eastAsia" w:ascii="仿宋" w:hAnsi="仿宋" w:eastAsia="仿宋" w:cs="仿宋"/>
          <w:color w:val="auto"/>
          <w:sz w:val="28"/>
          <w:szCs w:val="28"/>
          <w:highlight w:val="none"/>
          <w:u w:val="single"/>
        </w:rPr>
        <w:t xml:space="preserve">                      </w:t>
      </w:r>
    </w:p>
    <w:p w14:paraId="6C8C1A4C">
      <w:pPr>
        <w:pageBreakBefore w:val="0"/>
        <w:wordWrap w:val="0"/>
        <w:overflowPunct/>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14:paraId="6271B274">
      <w:pPr>
        <w:pStyle w:val="19"/>
        <w:spacing w:line="360" w:lineRule="auto"/>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注:</w:t>
      </w:r>
    </w:p>
    <w:p w14:paraId="7981B939">
      <w:pPr>
        <w:pStyle w:val="19"/>
        <w:spacing w:line="360" w:lineRule="auto"/>
        <w:ind w:firstLine="422" w:firstLineChars="200"/>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1.委托代理人提交响应文件的，应提供本人有效居民身份证（如非中国国籍应提供护照）原件交由工作人员核验。</w:t>
      </w:r>
    </w:p>
    <w:p w14:paraId="4059430C">
      <w:pPr>
        <w:pStyle w:val="19"/>
        <w:spacing w:line="360" w:lineRule="auto"/>
        <w:ind w:firstLine="422" w:firstLineChars="200"/>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2.在响应文件中附法定代表人及委托代理人有效居民身份证复印件。</w:t>
      </w:r>
    </w:p>
    <w:p w14:paraId="4B0E251A">
      <w:pPr>
        <w:pStyle w:val="19"/>
        <w:spacing w:line="360" w:lineRule="auto"/>
        <w:ind w:firstLine="422" w:firstLineChars="200"/>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3.如供应商由法定代表人亲自签署响应文件并参与相关活动，则不需要办理授权。如由被授权的代理人签署上述文件，则必须按本格式规定填报并提交法定代表人授权委托书，否则被授权的代理人将不被认可。</w:t>
      </w:r>
    </w:p>
    <w:p w14:paraId="0782FA0F">
      <w:pPr>
        <w:pStyle w:val="19"/>
        <w:spacing w:line="360" w:lineRule="auto"/>
        <w:ind w:firstLine="422" w:firstLineChars="200"/>
        <w:outlineLvl w:val="9"/>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4.本授权委托书配合法定代表人身份证明书使用方可生效。</w:t>
      </w:r>
    </w:p>
    <w:p w14:paraId="2D739AC8">
      <w:pPr>
        <w:rPr>
          <w:rFonts w:hint="eastAsia" w:ascii="仿宋" w:hAnsi="仿宋" w:eastAsia="仿宋" w:cs="仿宋"/>
          <w:color w:val="000000" w:themeColor="text1"/>
          <w14:textFill>
            <w14:solidFill>
              <w14:schemeClr w14:val="tx1"/>
            </w14:solidFill>
          </w14:textFill>
        </w:rPr>
      </w:pPr>
    </w:p>
    <w:p w14:paraId="597E7824">
      <w:pPr>
        <w:rPr>
          <w:rFonts w:hint="eastAsia" w:ascii="仿宋" w:hAnsi="仿宋" w:eastAsia="仿宋" w:cs="仿宋"/>
          <w:color w:val="000000" w:themeColor="text1"/>
          <w14:textFill>
            <w14:solidFill>
              <w14:schemeClr w14:val="tx1"/>
            </w14:solidFill>
          </w14:textFill>
        </w:rPr>
      </w:pPr>
      <w:bookmarkStart w:id="436" w:name="_Toc491307383"/>
      <w:bookmarkStart w:id="437" w:name="_Toc491307321"/>
      <w:bookmarkStart w:id="438" w:name="_Toc6496672"/>
      <w:bookmarkStart w:id="439" w:name="_Toc494043357"/>
      <w:bookmarkStart w:id="440" w:name="_Toc491307503"/>
      <w:r>
        <w:rPr>
          <w:rFonts w:hint="eastAsia" w:ascii="仿宋" w:hAnsi="仿宋" w:eastAsia="仿宋" w:cs="仿宋"/>
          <w:b/>
          <w:snapToGrid/>
          <w:color w:val="000000" w:themeColor="text1"/>
          <w:kern w:val="0"/>
          <w:sz w:val="28"/>
          <w:szCs w:val="28"/>
          <w14:textFill>
            <w14:solidFill>
              <w14:schemeClr w14:val="tx1"/>
            </w14:solidFill>
          </w14:textFill>
        </w:rPr>
        <w:br w:type="page"/>
      </w:r>
      <w:bookmarkEnd w:id="436"/>
      <w:bookmarkEnd w:id="437"/>
      <w:bookmarkEnd w:id="438"/>
      <w:bookmarkEnd w:id="439"/>
      <w:bookmarkEnd w:id="440"/>
    </w:p>
    <w:p w14:paraId="5FB61D95">
      <w:pPr>
        <w:pStyle w:val="3"/>
        <w:keepLines w:val="0"/>
        <w:spacing w:before="240" w:after="240" w:line="360" w:lineRule="auto"/>
        <w:jc w:val="center"/>
        <w:rPr>
          <w:rFonts w:hint="eastAsia" w:ascii="仿宋" w:hAnsi="仿宋" w:eastAsia="仿宋" w:cs="仿宋"/>
          <w:b/>
          <w:color w:val="000000" w:themeColor="text1"/>
          <w:kern w:val="0"/>
          <w:sz w:val="28"/>
          <w:szCs w:val="28"/>
          <w14:textFill>
            <w14:solidFill>
              <w14:schemeClr w14:val="tx1"/>
            </w14:solidFill>
          </w14:textFill>
        </w:rPr>
      </w:pPr>
      <w:bookmarkStart w:id="441" w:name="_Toc9243"/>
      <w:r>
        <w:rPr>
          <w:rFonts w:hint="eastAsia" w:ascii="仿宋" w:hAnsi="仿宋" w:eastAsia="仿宋" w:cs="仿宋"/>
          <w:b/>
          <w:color w:val="000000" w:themeColor="text1"/>
          <w:kern w:val="0"/>
          <w:sz w:val="28"/>
          <w:szCs w:val="28"/>
          <w:lang w:eastAsia="zh-CN"/>
          <w14:textFill>
            <w14:solidFill>
              <w14:schemeClr w14:val="tx1"/>
            </w14:solidFill>
          </w14:textFill>
        </w:rPr>
        <w:t>六</w:t>
      </w:r>
      <w:r>
        <w:rPr>
          <w:rFonts w:hint="eastAsia" w:ascii="仿宋" w:hAnsi="仿宋" w:eastAsia="仿宋" w:cs="仿宋"/>
          <w:b/>
          <w:color w:val="000000" w:themeColor="text1"/>
          <w:kern w:val="0"/>
          <w:sz w:val="28"/>
          <w:szCs w:val="28"/>
          <w14:textFill>
            <w14:solidFill>
              <w14:schemeClr w14:val="tx1"/>
            </w14:solidFill>
          </w14:textFill>
        </w:rPr>
        <w:t>、</w:t>
      </w:r>
      <w:r>
        <w:rPr>
          <w:rFonts w:hint="eastAsia" w:ascii="仿宋" w:hAnsi="仿宋" w:eastAsia="仿宋" w:cs="仿宋"/>
          <w:b/>
          <w:bCs w:val="0"/>
          <w:color w:val="000000" w:themeColor="text1"/>
          <w:kern w:val="0"/>
          <w:sz w:val="30"/>
          <w:szCs w:val="30"/>
          <w14:textFill>
            <w14:solidFill>
              <w14:schemeClr w14:val="tx1"/>
            </w14:solidFill>
          </w14:textFill>
        </w:rPr>
        <w:t>落实政府采购</w:t>
      </w:r>
      <w:r>
        <w:rPr>
          <w:rFonts w:hint="eastAsia" w:ascii="仿宋" w:hAnsi="仿宋" w:eastAsia="仿宋" w:cs="仿宋"/>
          <w:b/>
          <w:bCs w:val="0"/>
          <w:color w:val="000000" w:themeColor="text1"/>
          <w:kern w:val="0"/>
          <w:sz w:val="30"/>
          <w:szCs w:val="30"/>
          <w:lang w:val="en-US"/>
          <w14:textFill>
            <w14:solidFill>
              <w14:schemeClr w14:val="tx1"/>
            </w14:solidFill>
          </w14:textFill>
        </w:rPr>
        <w:t>政策</w:t>
      </w:r>
      <w:r>
        <w:rPr>
          <w:rFonts w:hint="eastAsia" w:ascii="仿宋" w:hAnsi="仿宋" w:eastAsia="仿宋" w:cs="仿宋"/>
          <w:b/>
          <w:bCs w:val="0"/>
          <w:color w:val="000000" w:themeColor="text1"/>
          <w:kern w:val="0"/>
          <w:sz w:val="30"/>
          <w:szCs w:val="30"/>
          <w14:textFill>
            <w14:solidFill>
              <w14:schemeClr w14:val="tx1"/>
            </w14:solidFill>
          </w14:textFill>
        </w:rPr>
        <w:t>需提供的证明材料</w:t>
      </w:r>
      <w:bookmarkEnd w:id="441"/>
    </w:p>
    <w:p w14:paraId="67D62905">
      <w:pPr>
        <w:pStyle w:val="34"/>
        <w:spacing w:before="0" w:beforeAutospacing="0" w:after="0" w:afterAutospacing="0" w:line="360" w:lineRule="auto"/>
        <w:contextualSpacing/>
        <w:jc w:val="center"/>
        <w:outlineLvl w:val="2"/>
        <w:rPr>
          <w:rFonts w:hint="eastAsia" w:ascii="仿宋" w:hAnsi="仿宋" w:eastAsia="仿宋" w:cs="仿宋"/>
          <w:b/>
          <w:bCs w:val="0"/>
          <w:snapToGrid/>
          <w:color w:val="000000" w:themeColor="text1"/>
          <w:kern w:val="2"/>
          <w:sz w:val="30"/>
          <w:szCs w:val="20"/>
          <w:lang w:val="zh-CN" w:eastAsia="zh-CN" w:bidi="ar-SA"/>
          <w14:textFill>
            <w14:solidFill>
              <w14:schemeClr w14:val="tx1"/>
            </w14:solidFill>
          </w14:textFill>
        </w:rPr>
      </w:pPr>
      <w:bookmarkStart w:id="442" w:name="_Toc14346"/>
      <w:bookmarkStart w:id="443" w:name="_Toc491307508"/>
      <w:bookmarkStart w:id="444" w:name="_Toc491307388"/>
      <w:bookmarkStart w:id="445" w:name="_Toc6496677"/>
      <w:bookmarkStart w:id="446" w:name="_Toc494043362"/>
      <w:bookmarkStart w:id="447" w:name="_Toc491307326"/>
      <w:bookmarkStart w:id="448" w:name="_Toc481694861"/>
      <w:bookmarkStart w:id="449" w:name="_Toc488633633"/>
      <w:bookmarkStart w:id="450" w:name="_Toc434236523"/>
      <w:r>
        <w:rPr>
          <w:rFonts w:hint="eastAsia" w:ascii="仿宋" w:hAnsi="仿宋" w:eastAsia="仿宋" w:cs="仿宋"/>
          <w:b/>
          <w:bCs w:val="0"/>
          <w:snapToGrid/>
          <w:color w:val="000000" w:themeColor="text1"/>
          <w:kern w:val="2"/>
          <w:sz w:val="30"/>
          <w:szCs w:val="20"/>
          <w:lang w:val="en-US" w:eastAsia="zh-CN" w:bidi="ar-SA"/>
          <w14:textFill>
            <w14:solidFill>
              <w14:schemeClr w14:val="tx1"/>
            </w14:solidFill>
          </w14:textFill>
        </w:rPr>
        <w:t>（一</w:t>
      </w:r>
      <w:bookmarkEnd w:id="442"/>
      <w:r>
        <w:rPr>
          <w:rFonts w:hint="eastAsia" w:ascii="仿宋" w:hAnsi="仿宋" w:eastAsia="仿宋" w:cs="仿宋"/>
          <w:b/>
          <w:bCs w:val="0"/>
          <w:snapToGrid/>
          <w:color w:val="000000" w:themeColor="text1"/>
          <w:kern w:val="2"/>
          <w:sz w:val="30"/>
          <w:szCs w:val="20"/>
          <w:lang w:val="en-US" w:eastAsia="zh-CN" w:bidi="ar-SA"/>
          <w14:textFill>
            <w14:solidFill>
              <w14:schemeClr w14:val="tx1"/>
            </w14:solidFill>
          </w14:textFill>
        </w:rPr>
        <w:t>）</w:t>
      </w:r>
      <w:r>
        <w:rPr>
          <w:rFonts w:hint="eastAsia" w:ascii="仿宋" w:hAnsi="仿宋" w:eastAsia="仿宋" w:cs="仿宋"/>
          <w:b/>
          <w:bCs w:val="0"/>
          <w:snapToGrid/>
          <w:color w:val="000000" w:themeColor="text1"/>
          <w:kern w:val="2"/>
          <w:sz w:val="30"/>
          <w:szCs w:val="20"/>
          <w:lang w:val="zh-CN" w:eastAsia="zh-CN" w:bidi="ar-SA"/>
          <w14:textFill>
            <w14:solidFill>
              <w14:schemeClr w14:val="tx1"/>
            </w14:solidFill>
          </w14:textFill>
        </w:rPr>
        <w:t>中小企业声明函（服务）</w:t>
      </w:r>
    </w:p>
    <w:p w14:paraId="2EDE1C23">
      <w:pPr>
        <w:pStyle w:val="34"/>
        <w:spacing w:before="0" w:beforeAutospacing="0" w:after="0" w:afterAutospacing="0" w:line="360" w:lineRule="auto"/>
        <w:ind w:firstLine="420" w:firstLineChars="200"/>
        <w:rPr>
          <w:rFonts w:hint="eastAsia" w:ascii="仿宋" w:hAnsi="仿宋" w:eastAsia="仿宋" w:cs="仿宋"/>
          <w:color w:val="000000" w:themeColor="text1"/>
          <w:sz w:val="21"/>
          <w:szCs w:val="21"/>
          <w14:textFill>
            <w14:solidFill>
              <w14:schemeClr w14:val="tx1"/>
            </w14:solidFill>
          </w14:textFill>
        </w:rPr>
      </w:pPr>
    </w:p>
    <w:p w14:paraId="3428C735">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本公司（联合体）郑重声明，根据《政府采购促进中小企业发展管理办法》（财库﹝2020﹞46 号）的规定本公司（联合体）参加</w:t>
      </w:r>
      <w:r>
        <w:rPr>
          <w:rFonts w:hint="eastAsia" w:ascii="仿宋" w:hAnsi="仿宋" w:eastAsia="仿宋" w:cs="仿宋"/>
          <w:color w:val="000000" w:themeColor="text1"/>
          <w:sz w:val="24"/>
          <w:szCs w:val="24"/>
          <w:u w:val="single"/>
          <w14:textFill>
            <w14:solidFill>
              <w14:schemeClr w14:val="tx1"/>
            </w14:solidFill>
          </w14:textFill>
        </w:rPr>
        <w:t>（单位名称）</w:t>
      </w:r>
      <w:r>
        <w:rPr>
          <w:rFonts w:hint="eastAsia" w:ascii="仿宋" w:hAnsi="仿宋" w:eastAsia="仿宋" w:cs="仿宋"/>
          <w:color w:val="000000" w:themeColor="text1"/>
          <w:sz w:val="24"/>
          <w:szCs w:val="24"/>
          <w14:textFill>
            <w14:solidFill>
              <w14:schemeClr w14:val="tx1"/>
            </w14:solidFill>
          </w14:textFill>
        </w:rPr>
        <w:t>的</w:t>
      </w:r>
      <w:r>
        <w:rPr>
          <w:rFonts w:hint="eastAsia" w:ascii="仿宋" w:hAnsi="仿宋" w:eastAsia="仿宋" w:cs="仿宋"/>
          <w:color w:val="000000" w:themeColor="text1"/>
          <w:sz w:val="24"/>
          <w:szCs w:val="24"/>
          <w:u w:val="single"/>
          <w14:textFill>
            <w14:solidFill>
              <w14:schemeClr w14:val="tx1"/>
            </w14:solidFill>
          </w14:textFill>
        </w:rPr>
        <w:t>（项目名称）</w:t>
      </w:r>
      <w:r>
        <w:rPr>
          <w:rFonts w:hint="eastAsia" w:ascii="仿宋" w:hAnsi="仿宋" w:eastAsia="仿宋" w:cs="仿宋"/>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091252C8">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u w:val="single"/>
          <w14:textFill>
            <w14:solidFill>
              <w14:schemeClr w14:val="tx1"/>
            </w14:solidFill>
          </w14:textFill>
        </w:rPr>
        <w:t>（标的名称）</w:t>
      </w:r>
      <w:r>
        <w:rPr>
          <w:rFonts w:hint="eastAsia" w:ascii="仿宋" w:hAnsi="仿宋" w:eastAsia="仿宋" w:cs="仿宋"/>
          <w:color w:val="000000" w:themeColor="text1"/>
          <w:sz w:val="24"/>
          <w:szCs w:val="24"/>
          <w14:textFill>
            <w14:solidFill>
              <w14:schemeClr w14:val="tx1"/>
            </w14:solidFill>
          </w14:textFill>
        </w:rPr>
        <w:t xml:space="preserve"> ，属于</w:t>
      </w:r>
      <w:r>
        <w:rPr>
          <w:rFonts w:hint="eastAsia" w:ascii="仿宋" w:hAnsi="仿宋" w:eastAsia="仿宋" w:cs="仿宋"/>
          <w:color w:val="000000" w:themeColor="text1"/>
          <w:sz w:val="24"/>
          <w:szCs w:val="24"/>
          <w:u w:val="single"/>
          <w14:textFill>
            <w14:solidFill>
              <w14:schemeClr w14:val="tx1"/>
            </w14:solidFill>
          </w14:textFill>
        </w:rPr>
        <w:t>（采购文件中明确的所属行业）</w:t>
      </w:r>
      <w:r>
        <w:rPr>
          <w:rFonts w:hint="eastAsia" w:ascii="仿宋" w:hAnsi="仿宋" w:eastAsia="仿宋" w:cs="仿宋"/>
          <w:color w:val="000000" w:themeColor="text1"/>
          <w:sz w:val="24"/>
          <w:szCs w:val="24"/>
          <w14:textFill>
            <w14:solidFill>
              <w14:schemeClr w14:val="tx1"/>
            </w14:solidFill>
          </w14:textFill>
        </w:rPr>
        <w:t>；承建（承接）企业为</w:t>
      </w:r>
      <w:r>
        <w:rPr>
          <w:rFonts w:hint="eastAsia" w:ascii="仿宋" w:hAnsi="仿宋" w:eastAsia="仿宋" w:cs="仿宋"/>
          <w:color w:val="000000" w:themeColor="text1"/>
          <w:sz w:val="24"/>
          <w:szCs w:val="24"/>
          <w:u w:val="single"/>
          <w14:textFill>
            <w14:solidFill>
              <w14:schemeClr w14:val="tx1"/>
            </w14:solidFill>
          </w14:textFill>
        </w:rPr>
        <w:t>（企业名称）</w:t>
      </w:r>
      <w:r>
        <w:rPr>
          <w:rFonts w:hint="eastAsia" w:ascii="仿宋" w:hAnsi="仿宋" w:eastAsia="仿宋" w:cs="仿宋"/>
          <w:color w:val="000000" w:themeColor="text1"/>
          <w:sz w:val="24"/>
          <w:szCs w:val="24"/>
          <w14:textFill>
            <w14:solidFill>
              <w14:schemeClr w14:val="tx1"/>
            </w14:solidFill>
          </w14:textFill>
        </w:rPr>
        <w:t>，从业人员</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人，营业收入为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万元，资产总额为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万元，属于</w:t>
      </w:r>
      <w:r>
        <w:rPr>
          <w:rFonts w:hint="eastAsia" w:ascii="仿宋" w:hAnsi="仿宋" w:eastAsia="仿宋" w:cs="仿宋"/>
          <w:color w:val="000000" w:themeColor="text1"/>
          <w:sz w:val="24"/>
          <w:szCs w:val="24"/>
          <w:u w:val="single"/>
          <w14:textFill>
            <w14:solidFill>
              <w14:schemeClr w14:val="tx1"/>
            </w14:solidFill>
          </w14:textFill>
        </w:rPr>
        <w:t>（中型企业、小型企业、微型企业）</w:t>
      </w:r>
      <w:r>
        <w:rPr>
          <w:rFonts w:hint="eastAsia" w:ascii="仿宋" w:hAnsi="仿宋" w:eastAsia="仿宋" w:cs="仿宋"/>
          <w:color w:val="000000" w:themeColor="text1"/>
          <w:sz w:val="24"/>
          <w:szCs w:val="24"/>
          <w14:textFill>
            <w14:solidFill>
              <w14:schemeClr w14:val="tx1"/>
            </w14:solidFill>
          </w14:textFill>
        </w:rPr>
        <w:t>；</w:t>
      </w:r>
    </w:p>
    <w:p w14:paraId="2B3A4FBE">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u w:val="single"/>
          <w14:textFill>
            <w14:solidFill>
              <w14:schemeClr w14:val="tx1"/>
            </w14:solidFill>
          </w14:textFill>
        </w:rPr>
        <w:t>（标的名称）</w:t>
      </w:r>
      <w:r>
        <w:rPr>
          <w:rFonts w:hint="eastAsia" w:ascii="仿宋" w:hAnsi="仿宋" w:eastAsia="仿宋" w:cs="仿宋"/>
          <w:color w:val="000000" w:themeColor="text1"/>
          <w:sz w:val="24"/>
          <w:szCs w:val="24"/>
          <w14:textFill>
            <w14:solidFill>
              <w14:schemeClr w14:val="tx1"/>
            </w14:solidFill>
          </w14:textFill>
        </w:rPr>
        <w:t xml:space="preserve"> ，属于</w:t>
      </w:r>
      <w:r>
        <w:rPr>
          <w:rFonts w:hint="eastAsia" w:ascii="仿宋" w:hAnsi="仿宋" w:eastAsia="仿宋" w:cs="仿宋"/>
          <w:color w:val="000000" w:themeColor="text1"/>
          <w:sz w:val="24"/>
          <w:szCs w:val="24"/>
          <w:u w:val="single"/>
          <w14:textFill>
            <w14:solidFill>
              <w14:schemeClr w14:val="tx1"/>
            </w14:solidFill>
          </w14:textFill>
        </w:rPr>
        <w:t>（采购文件中明确的所属行业）</w:t>
      </w:r>
      <w:r>
        <w:rPr>
          <w:rFonts w:hint="eastAsia" w:ascii="仿宋" w:hAnsi="仿宋" w:eastAsia="仿宋" w:cs="仿宋"/>
          <w:color w:val="000000" w:themeColor="text1"/>
          <w:sz w:val="24"/>
          <w:szCs w:val="24"/>
          <w14:textFill>
            <w14:solidFill>
              <w14:schemeClr w14:val="tx1"/>
            </w14:solidFill>
          </w14:textFill>
        </w:rPr>
        <w:t>；承建（承接）企业为</w:t>
      </w:r>
      <w:r>
        <w:rPr>
          <w:rFonts w:hint="eastAsia" w:ascii="仿宋" w:hAnsi="仿宋" w:eastAsia="仿宋" w:cs="仿宋"/>
          <w:color w:val="000000" w:themeColor="text1"/>
          <w:sz w:val="24"/>
          <w:szCs w:val="24"/>
          <w:u w:val="single"/>
          <w14:textFill>
            <w14:solidFill>
              <w14:schemeClr w14:val="tx1"/>
            </w14:solidFill>
          </w14:textFill>
        </w:rPr>
        <w:t>（企业名称）</w:t>
      </w:r>
      <w:r>
        <w:rPr>
          <w:rFonts w:hint="eastAsia" w:ascii="仿宋" w:hAnsi="仿宋" w:eastAsia="仿宋" w:cs="仿宋"/>
          <w:color w:val="000000" w:themeColor="text1"/>
          <w:sz w:val="24"/>
          <w:szCs w:val="24"/>
          <w14:textFill>
            <w14:solidFill>
              <w14:schemeClr w14:val="tx1"/>
            </w14:solidFill>
          </w14:textFill>
        </w:rPr>
        <w:t>，从业人员</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人，营业收入为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万元，资产总额为</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万元，属于</w:t>
      </w:r>
      <w:r>
        <w:rPr>
          <w:rFonts w:hint="eastAsia" w:ascii="仿宋" w:hAnsi="仿宋" w:eastAsia="仿宋" w:cs="仿宋"/>
          <w:color w:val="000000" w:themeColor="text1"/>
          <w:sz w:val="24"/>
          <w:szCs w:val="24"/>
          <w:u w:val="single"/>
          <w14:textFill>
            <w14:solidFill>
              <w14:schemeClr w14:val="tx1"/>
            </w14:solidFill>
          </w14:textFill>
        </w:rPr>
        <w:t>（中型企业、小型企业、微型企业）</w:t>
      </w:r>
      <w:r>
        <w:rPr>
          <w:rFonts w:hint="eastAsia" w:ascii="仿宋" w:hAnsi="仿宋" w:eastAsia="仿宋" w:cs="仿宋"/>
          <w:color w:val="000000" w:themeColor="text1"/>
          <w:sz w:val="24"/>
          <w:szCs w:val="24"/>
          <w14:textFill>
            <w14:solidFill>
              <w14:schemeClr w14:val="tx1"/>
            </w14:solidFill>
          </w14:textFill>
        </w:rPr>
        <w:t>；</w:t>
      </w:r>
    </w:p>
    <w:p w14:paraId="3E2864D0">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以上企业，不属于大企业的分支机构，不存在控股股东为大企业的情形，也不存在与大企业的负责人为同一人的情形。</w:t>
      </w:r>
    </w:p>
    <w:p w14:paraId="5B1B5077">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本企业对上述声明内容的真实性负责。如有虚假，将依法承担相应责任。　　</w:t>
      </w:r>
    </w:p>
    <w:p w14:paraId="32434745">
      <w:pPr>
        <w:rPr>
          <w:rFonts w:hint="eastAsia" w:ascii="仿宋" w:hAnsi="仿宋" w:eastAsia="仿宋" w:cs="仿宋"/>
          <w:color w:val="000000" w:themeColor="text1"/>
          <w:sz w:val="24"/>
          <w:szCs w:val="24"/>
          <w14:textFill>
            <w14:solidFill>
              <w14:schemeClr w14:val="tx1"/>
            </w14:solidFill>
          </w14:textFill>
        </w:rPr>
      </w:pPr>
    </w:p>
    <w:p w14:paraId="4D061FC2">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lang w:val="en-US" w:eastAsia="zh-CN" w:bidi="ar-SA"/>
        </w:rPr>
        <w:t>供</w:t>
      </w:r>
      <w:r>
        <w:rPr>
          <w:rFonts w:hint="eastAsia" w:ascii="仿宋" w:hAnsi="仿宋" w:eastAsia="仿宋" w:cs="仿宋"/>
          <w:color w:val="auto"/>
          <w:sz w:val="28"/>
          <w:szCs w:val="28"/>
          <w:highlight w:val="none"/>
          <w:lang w:eastAsia="zh-CN"/>
        </w:rPr>
        <w:t>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6D882ADD">
      <w:pPr>
        <w:pStyle w:val="34"/>
        <w:spacing w:before="0" w:beforeAutospacing="0" w:after="0" w:afterAutospacing="0" w:line="360" w:lineRule="auto"/>
        <w:ind w:firstLine="1400" w:firstLineChars="5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日</w:t>
      </w:r>
      <w:r>
        <w:rPr>
          <w:rFonts w:hint="eastAsia" w:ascii="仿宋" w:hAnsi="仿宋" w:eastAsia="仿宋" w:cs="仿宋"/>
          <w:color w:val="000000" w:themeColor="text1"/>
          <w:sz w:val="24"/>
          <w:szCs w:val="24"/>
          <w14:textFill>
            <w14:solidFill>
              <w14:schemeClr w14:val="tx1"/>
            </w14:solidFill>
          </w14:textFill>
        </w:rPr>
        <w:t>　　</w:t>
      </w:r>
    </w:p>
    <w:p w14:paraId="441309B9">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p>
    <w:p w14:paraId="52B25773">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注：①本项目所采购标的所属行业为：其他未列明行业。</w:t>
      </w:r>
    </w:p>
    <w:p w14:paraId="49E6B46D">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②从业人员、营业收入、资产总额填报上一年度数据，无上一年度数据的新成立企业可不填报。</w:t>
      </w:r>
    </w:p>
    <w:p w14:paraId="2329F50D">
      <w:pPr>
        <w:pStyle w:val="34"/>
        <w:spacing w:before="0" w:beforeAutospacing="0" w:after="0" w:afterAutospacing="0" w:line="360" w:lineRule="auto"/>
        <w:ind w:firstLine="480" w:firstLineChars="200"/>
        <w:contextualSpacing/>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③采购代理机构在随中标、成交结果同时公告其《中小企业声明函》，接受社会监督。供应商提供的《中小企业声明函》与事实不符的，按照《</w:t>
      </w:r>
      <w:r>
        <w:rPr>
          <w:rFonts w:hint="eastAsia" w:ascii="仿宋" w:hAnsi="仿宋" w:eastAsia="仿宋" w:cs="仿宋"/>
          <w:color w:val="000000" w:themeColor="text1"/>
          <w:sz w:val="24"/>
          <w:szCs w:val="24"/>
          <w:lang w:eastAsia="zh-CN"/>
          <w14:textFill>
            <w14:solidFill>
              <w14:schemeClr w14:val="tx1"/>
            </w14:solidFill>
          </w14:textFill>
        </w:rPr>
        <w:t>中华人民共和国</w:t>
      </w:r>
      <w:r>
        <w:rPr>
          <w:rFonts w:hint="eastAsia" w:ascii="仿宋" w:hAnsi="仿宋" w:eastAsia="仿宋" w:cs="仿宋"/>
          <w:color w:val="000000" w:themeColor="text1"/>
          <w:sz w:val="24"/>
          <w:szCs w:val="24"/>
          <w14:textFill>
            <w14:solidFill>
              <w14:schemeClr w14:val="tx1"/>
            </w14:solidFill>
          </w14:textFill>
        </w:rPr>
        <w:t>政府采购法》等国家有规定追究相应责任。</w:t>
      </w:r>
      <w:bookmarkEnd w:id="443"/>
      <w:bookmarkEnd w:id="444"/>
      <w:bookmarkEnd w:id="445"/>
      <w:bookmarkEnd w:id="446"/>
      <w:bookmarkEnd w:id="447"/>
      <w:bookmarkEnd w:id="448"/>
      <w:bookmarkEnd w:id="449"/>
      <w:bookmarkEnd w:id="450"/>
      <w:bookmarkStart w:id="451" w:name="_Toc6496678"/>
    </w:p>
    <w:p w14:paraId="0D7A20EC">
      <w:pPr>
        <w:widowControl/>
        <w:jc w:val="left"/>
        <w:rPr>
          <w:rFonts w:hint="eastAsia" w:ascii="仿宋" w:hAnsi="仿宋" w:eastAsia="仿宋" w:cs="仿宋"/>
          <w:b/>
          <w:snapToGrid/>
          <w:color w:val="000000" w:themeColor="text1"/>
          <w:kern w:val="0"/>
          <w:sz w:val="28"/>
          <w:szCs w:val="28"/>
          <w14:textFill>
            <w14:solidFill>
              <w14:schemeClr w14:val="tx1"/>
            </w14:solidFill>
          </w14:textFill>
        </w:rPr>
      </w:pPr>
      <w:r>
        <w:rPr>
          <w:rFonts w:hint="eastAsia" w:ascii="仿宋" w:hAnsi="仿宋" w:eastAsia="仿宋" w:cs="仿宋"/>
          <w:b/>
          <w:snapToGrid/>
          <w:color w:val="000000" w:themeColor="text1"/>
          <w:kern w:val="0"/>
          <w:sz w:val="28"/>
          <w:szCs w:val="28"/>
          <w14:textFill>
            <w14:solidFill>
              <w14:schemeClr w14:val="tx1"/>
            </w14:solidFill>
          </w14:textFill>
        </w:rPr>
        <w:br w:type="page"/>
      </w:r>
      <w:bookmarkEnd w:id="451"/>
    </w:p>
    <w:p w14:paraId="599BDA25">
      <w:pPr>
        <w:pStyle w:val="4"/>
        <w:jc w:val="center"/>
        <w:rPr>
          <w:rFonts w:hint="eastAsia" w:ascii="仿宋" w:hAnsi="仿宋" w:eastAsia="仿宋" w:cs="仿宋"/>
          <w:b/>
          <w:color w:val="000000" w:themeColor="text1"/>
          <w:szCs w:val="21"/>
          <w14:textFill>
            <w14:solidFill>
              <w14:schemeClr w14:val="tx1"/>
            </w14:solidFill>
          </w14:textFill>
        </w:rPr>
      </w:pPr>
      <w:bookmarkStart w:id="452" w:name="_Toc17691"/>
      <w:r>
        <w:rPr>
          <w:rFonts w:hint="eastAsia" w:ascii="仿宋" w:hAnsi="仿宋" w:eastAsia="仿宋" w:cs="仿宋"/>
          <w:color w:val="000000" w:themeColor="text1"/>
          <w14:textFill>
            <w14:solidFill>
              <w14:schemeClr w14:val="tx1"/>
            </w14:solidFill>
          </w14:textFill>
        </w:rPr>
        <w:t>（二）</w:t>
      </w:r>
      <w:bookmarkEnd w:id="452"/>
      <w:r>
        <w:rPr>
          <w:rFonts w:hint="eastAsia" w:ascii="仿宋" w:hAnsi="仿宋" w:eastAsia="仿宋" w:cs="仿宋"/>
          <w:b/>
          <w:color w:val="000000" w:themeColor="text1"/>
          <w:szCs w:val="21"/>
          <w14:textFill>
            <w14:solidFill>
              <w14:schemeClr w14:val="tx1"/>
            </w14:solidFill>
          </w14:textFill>
        </w:rPr>
        <w:t>监狱企业证明文件</w:t>
      </w:r>
    </w:p>
    <w:p w14:paraId="4E83F49D">
      <w:pPr>
        <w:spacing w:line="360" w:lineRule="auto"/>
        <w:ind w:firstLine="560" w:firstLineChars="200"/>
        <w:jc w:val="left"/>
        <w:rPr>
          <w:rFonts w:hint="eastAsia" w:ascii="仿宋" w:hAnsi="仿宋" w:eastAsia="仿宋" w:cs="仿宋"/>
          <w:color w:val="000000" w:themeColor="text1"/>
          <w:sz w:val="28"/>
          <w:szCs w:val="28"/>
          <w14:textFill>
            <w14:solidFill>
              <w14:schemeClr w14:val="tx1"/>
            </w14:solidFill>
          </w14:textFill>
        </w:rPr>
      </w:pPr>
    </w:p>
    <w:p w14:paraId="2DEDB90F">
      <w:pPr>
        <w:spacing w:line="360" w:lineRule="auto"/>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根据《财政部 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003A07DD">
      <w:pPr>
        <w:spacing w:line="360" w:lineRule="auto"/>
        <w:ind w:firstLine="480" w:firstLineChars="200"/>
        <w:jc w:val="left"/>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监狱企业参加政府采购活动时，应当提供由省级以上监狱管理局、戒毒管理局（含新疆生产建设兵团）出具的属于监狱企业的证明文件。</w:t>
      </w:r>
    </w:p>
    <w:p w14:paraId="5451FF39">
      <w:pPr>
        <w:pageBreakBefore w:val="0"/>
        <w:kinsoku/>
        <w:wordWrap w:val="0"/>
        <w:topLinePunct w:val="0"/>
        <w:bidi w:val="0"/>
        <w:spacing w:line="360" w:lineRule="auto"/>
        <w:ind w:firstLine="1400" w:firstLineChars="500"/>
        <w:jc w:val="left"/>
        <w:rPr>
          <w:rFonts w:hint="eastAsia" w:ascii="仿宋" w:hAnsi="仿宋" w:eastAsia="仿宋" w:cs="仿宋"/>
          <w:color w:val="auto"/>
          <w:kern w:val="1"/>
          <w:sz w:val="28"/>
          <w:szCs w:val="28"/>
          <w:highlight w:val="none"/>
          <w:lang w:val="en-US" w:eastAsia="zh-CN" w:bidi="ar-SA"/>
        </w:rPr>
      </w:pPr>
    </w:p>
    <w:p w14:paraId="2501E0A8">
      <w:pPr>
        <w:pageBreakBefore w:val="0"/>
        <w:kinsoku/>
        <w:wordWrap w:val="0"/>
        <w:topLinePunct w:val="0"/>
        <w:bidi w:val="0"/>
        <w:spacing w:line="360" w:lineRule="auto"/>
        <w:ind w:firstLine="1400" w:firstLineChars="500"/>
        <w:jc w:val="left"/>
        <w:rPr>
          <w:rFonts w:hint="eastAsia" w:ascii="仿宋" w:hAnsi="仿宋" w:eastAsia="仿宋" w:cs="仿宋"/>
          <w:color w:val="auto"/>
          <w:kern w:val="1"/>
          <w:sz w:val="28"/>
          <w:szCs w:val="28"/>
          <w:highlight w:val="none"/>
          <w:lang w:val="en-US" w:eastAsia="zh-CN" w:bidi="ar-SA"/>
        </w:rPr>
      </w:pPr>
    </w:p>
    <w:p w14:paraId="2B94AAB4">
      <w:pPr>
        <w:pageBreakBefore w:val="0"/>
        <w:kinsoku/>
        <w:wordWrap w:val="0"/>
        <w:topLinePunct w:val="0"/>
        <w:bidi w:val="0"/>
        <w:spacing w:line="360" w:lineRule="auto"/>
        <w:ind w:firstLine="1400" w:firstLineChars="500"/>
        <w:jc w:val="left"/>
        <w:rPr>
          <w:rFonts w:hint="eastAsia" w:ascii="仿宋" w:hAnsi="仿宋" w:eastAsia="仿宋" w:cs="仿宋"/>
          <w:color w:val="auto"/>
          <w:kern w:val="1"/>
          <w:sz w:val="28"/>
          <w:szCs w:val="28"/>
          <w:highlight w:val="none"/>
          <w:lang w:val="en-US" w:eastAsia="zh-CN" w:bidi="ar-SA"/>
        </w:rPr>
      </w:pPr>
    </w:p>
    <w:p w14:paraId="21D21EBE">
      <w:pPr>
        <w:pageBreakBefore w:val="0"/>
        <w:kinsoku/>
        <w:wordWrap w:val="0"/>
        <w:topLinePunct w:val="0"/>
        <w:bidi w:val="0"/>
        <w:spacing w:line="360" w:lineRule="auto"/>
        <w:ind w:firstLine="1400" w:firstLineChars="500"/>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kern w:val="1"/>
          <w:sz w:val="28"/>
          <w:szCs w:val="28"/>
          <w:highlight w:val="none"/>
          <w:lang w:val="en-US" w:eastAsia="zh-CN" w:bidi="ar-SA"/>
        </w:rPr>
        <w:t>供</w:t>
      </w:r>
      <w:r>
        <w:rPr>
          <w:rFonts w:hint="eastAsia" w:ascii="仿宋" w:hAnsi="仿宋" w:eastAsia="仿宋" w:cs="仿宋"/>
          <w:color w:val="auto"/>
          <w:sz w:val="28"/>
          <w:szCs w:val="28"/>
          <w:highlight w:val="none"/>
          <w:lang w:eastAsia="zh-CN"/>
        </w:rPr>
        <w:t>应商</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（盖单位公章）</w:t>
      </w:r>
    </w:p>
    <w:p w14:paraId="718B5DEF">
      <w:pPr>
        <w:widowControl/>
        <w:spacing w:line="360" w:lineRule="auto"/>
        <w:ind w:firstLine="1400" w:firstLineChars="500"/>
        <w:jc w:val="left"/>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 xml:space="preserve"> 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rPr>
        <w:t>日</w:t>
      </w:r>
    </w:p>
    <w:p w14:paraId="7392EFC7">
      <w:pPr>
        <w:pStyle w:val="2"/>
        <w:outlineLvl w:val="9"/>
        <w:rPr>
          <w:rFonts w:hint="eastAsia" w:ascii="仿宋" w:hAnsi="仿宋" w:eastAsia="仿宋" w:cs="仿宋"/>
        </w:rPr>
      </w:pPr>
    </w:p>
    <w:p w14:paraId="6A818A25">
      <w:pPr>
        <w:widowControl/>
        <w:spacing w:line="360" w:lineRule="auto"/>
        <w:ind w:firstLine="422" w:firstLineChars="200"/>
        <w:jc w:val="left"/>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注：符合条件的监狱企业在参加政府采购活动时，应当按《财政部 司法部关于政府采购支持监狱企业发展有关问题的通知》（财库[2014]68号）提供规定的《监狱企业证明文件》，并对声明的真实性负责。</w:t>
      </w:r>
    </w:p>
    <w:p w14:paraId="6A089517">
      <w:pPr>
        <w:rPr>
          <w:rFonts w:hint="eastAsia" w:ascii="仿宋" w:hAnsi="仿宋" w:eastAsia="仿宋" w:cs="仿宋"/>
          <w:color w:val="000000" w:themeColor="text1"/>
          <w14:textFill>
            <w14:solidFill>
              <w14:schemeClr w14:val="tx1"/>
            </w14:solidFill>
          </w14:textFill>
        </w:rPr>
      </w:pPr>
    </w:p>
    <w:p w14:paraId="5B1B1CEB">
      <w:pPr>
        <w:rPr>
          <w:rFonts w:hint="eastAsia" w:ascii="仿宋" w:hAnsi="仿宋" w:eastAsia="仿宋" w:cs="仿宋"/>
          <w:color w:val="000000" w:themeColor="text1"/>
          <w14:textFill>
            <w14:solidFill>
              <w14:schemeClr w14:val="tx1"/>
            </w14:solidFill>
          </w14:textFill>
        </w:rPr>
      </w:pPr>
    </w:p>
    <w:p w14:paraId="29FDA23E">
      <w:pPr>
        <w:rPr>
          <w:rFonts w:hint="eastAsia" w:ascii="仿宋" w:hAnsi="仿宋" w:eastAsia="仿宋" w:cs="仿宋"/>
          <w:color w:val="000000" w:themeColor="text1"/>
          <w14:textFill>
            <w14:solidFill>
              <w14:schemeClr w14:val="tx1"/>
            </w14:solidFill>
          </w14:textFill>
        </w:rPr>
      </w:pPr>
    </w:p>
    <w:p w14:paraId="1478EA58">
      <w:pPr>
        <w:rPr>
          <w:rFonts w:hint="eastAsia" w:ascii="仿宋" w:hAnsi="仿宋" w:eastAsia="仿宋" w:cs="仿宋"/>
          <w:color w:val="000000" w:themeColor="text1"/>
          <w14:textFill>
            <w14:solidFill>
              <w14:schemeClr w14:val="tx1"/>
            </w14:solidFill>
          </w14:textFill>
        </w:rPr>
      </w:pPr>
    </w:p>
    <w:p w14:paraId="7C4AB6A2">
      <w:pPr>
        <w:rPr>
          <w:rFonts w:hint="eastAsia" w:ascii="仿宋" w:hAnsi="仿宋" w:eastAsia="仿宋" w:cs="仿宋"/>
          <w:color w:val="000000" w:themeColor="text1"/>
          <w14:textFill>
            <w14:solidFill>
              <w14:schemeClr w14:val="tx1"/>
            </w14:solidFill>
          </w14:textFill>
        </w:rPr>
      </w:pPr>
    </w:p>
    <w:p w14:paraId="0D75FE5A">
      <w:pPr>
        <w:rPr>
          <w:rFonts w:hint="eastAsia" w:ascii="仿宋" w:hAnsi="仿宋" w:eastAsia="仿宋" w:cs="仿宋"/>
          <w:color w:val="000000" w:themeColor="text1"/>
          <w14:textFill>
            <w14:solidFill>
              <w14:schemeClr w14:val="tx1"/>
            </w14:solidFill>
          </w14:textFill>
        </w:rPr>
      </w:pPr>
    </w:p>
    <w:p w14:paraId="5A6ABE9F">
      <w:pPr>
        <w:rPr>
          <w:rFonts w:hint="eastAsia" w:ascii="仿宋" w:hAnsi="仿宋" w:eastAsia="仿宋" w:cs="仿宋"/>
          <w:color w:val="000000" w:themeColor="text1"/>
          <w14:textFill>
            <w14:solidFill>
              <w14:schemeClr w14:val="tx1"/>
            </w14:solidFill>
          </w14:textFill>
        </w:rPr>
      </w:pPr>
    </w:p>
    <w:p w14:paraId="76C8F950">
      <w:pPr>
        <w:rPr>
          <w:rFonts w:hint="eastAsia" w:ascii="仿宋" w:hAnsi="仿宋" w:eastAsia="仿宋" w:cs="仿宋"/>
          <w:color w:val="000000" w:themeColor="text1"/>
          <w14:textFill>
            <w14:solidFill>
              <w14:schemeClr w14:val="tx1"/>
            </w14:solidFill>
          </w14:textFill>
        </w:rPr>
      </w:pPr>
    </w:p>
    <w:p w14:paraId="7EEF2252">
      <w:pPr>
        <w:rPr>
          <w:rFonts w:hint="eastAsia" w:ascii="仿宋" w:hAnsi="仿宋" w:eastAsia="仿宋" w:cs="仿宋"/>
          <w:color w:val="000000" w:themeColor="text1"/>
          <w14:textFill>
            <w14:solidFill>
              <w14:schemeClr w14:val="tx1"/>
            </w14:solidFill>
          </w14:textFill>
        </w:rPr>
      </w:pPr>
    </w:p>
    <w:p w14:paraId="4AF92BE2">
      <w:pPr>
        <w:rPr>
          <w:rFonts w:hint="eastAsia" w:ascii="仿宋" w:hAnsi="仿宋" w:eastAsia="仿宋" w:cs="仿宋"/>
          <w:color w:val="000000" w:themeColor="text1"/>
          <w14:textFill>
            <w14:solidFill>
              <w14:schemeClr w14:val="tx1"/>
            </w14:solidFill>
          </w14:textFill>
        </w:rPr>
      </w:pPr>
    </w:p>
    <w:p w14:paraId="1FA17FC3">
      <w:pPr>
        <w:rPr>
          <w:rFonts w:hint="eastAsia" w:ascii="仿宋" w:hAnsi="仿宋" w:eastAsia="仿宋" w:cs="仿宋"/>
          <w:color w:val="000000" w:themeColor="text1"/>
          <w14:textFill>
            <w14:solidFill>
              <w14:schemeClr w14:val="tx1"/>
            </w14:solidFill>
          </w14:textFill>
        </w:rPr>
      </w:pPr>
    </w:p>
    <w:p w14:paraId="7933BCC9">
      <w:pPr>
        <w:rPr>
          <w:rFonts w:hint="eastAsia" w:ascii="仿宋" w:hAnsi="仿宋" w:eastAsia="仿宋" w:cs="仿宋"/>
          <w:color w:val="000000" w:themeColor="text1"/>
          <w14:textFill>
            <w14:solidFill>
              <w14:schemeClr w14:val="tx1"/>
            </w14:solidFill>
          </w14:textFill>
        </w:rPr>
      </w:pPr>
    </w:p>
    <w:p w14:paraId="51FF1CE3">
      <w:pPr>
        <w:rPr>
          <w:rFonts w:hint="eastAsia" w:ascii="仿宋" w:hAnsi="仿宋" w:eastAsia="仿宋" w:cs="仿宋"/>
          <w:color w:val="000000" w:themeColor="text1"/>
          <w14:textFill>
            <w14:solidFill>
              <w14:schemeClr w14:val="tx1"/>
            </w14:solidFill>
          </w14:textFill>
        </w:rPr>
      </w:pPr>
    </w:p>
    <w:p w14:paraId="3407C4BA">
      <w:pPr>
        <w:rPr>
          <w:rFonts w:hint="eastAsia" w:ascii="仿宋" w:hAnsi="仿宋" w:eastAsia="仿宋" w:cs="仿宋"/>
          <w:b/>
          <w:snapToGrid/>
          <w:color w:val="000000" w:themeColor="text1"/>
          <w:kern w:val="0"/>
          <w:sz w:val="28"/>
          <w:szCs w:val="28"/>
          <w14:textFill>
            <w14:solidFill>
              <w14:schemeClr w14:val="tx1"/>
            </w14:solidFill>
          </w14:textFill>
        </w:rPr>
      </w:pPr>
      <w:bookmarkStart w:id="453" w:name="_Toc6496680"/>
    </w:p>
    <w:bookmarkEnd w:id="453"/>
    <w:p w14:paraId="1125C8E7">
      <w:pPr>
        <w:pStyle w:val="4"/>
        <w:jc w:val="center"/>
        <w:rPr>
          <w:rFonts w:hint="eastAsia" w:ascii="仿宋" w:hAnsi="仿宋" w:eastAsia="仿宋" w:cs="仿宋"/>
          <w:b/>
          <w:color w:val="000000" w:themeColor="text1"/>
          <w:szCs w:val="21"/>
          <w14:textFill>
            <w14:solidFill>
              <w14:schemeClr w14:val="tx1"/>
            </w14:solidFill>
          </w14:textFill>
        </w:rPr>
      </w:pPr>
      <w:bookmarkStart w:id="454" w:name="_Toc16510"/>
      <w:r>
        <w:rPr>
          <w:rFonts w:hint="eastAsia" w:ascii="仿宋" w:hAnsi="仿宋" w:eastAsia="仿宋" w:cs="仿宋"/>
          <w:color w:val="000000" w:themeColor="text1"/>
          <w14:textFill>
            <w14:solidFill>
              <w14:schemeClr w14:val="tx1"/>
            </w14:solidFill>
          </w14:textFill>
        </w:rPr>
        <w:t>（三）</w:t>
      </w:r>
      <w:bookmarkEnd w:id="454"/>
      <w:bookmarkStart w:id="455" w:name="OLE_LINK13"/>
      <w:bookmarkStart w:id="456" w:name="OLE_LINK14"/>
      <w:r>
        <w:rPr>
          <w:rFonts w:hint="eastAsia" w:ascii="仿宋" w:hAnsi="仿宋" w:eastAsia="仿宋" w:cs="仿宋"/>
          <w:b/>
          <w:color w:val="000000" w:themeColor="text1"/>
          <w:szCs w:val="21"/>
          <w14:textFill>
            <w14:solidFill>
              <w14:schemeClr w14:val="tx1"/>
            </w14:solidFill>
          </w14:textFill>
        </w:rPr>
        <w:t>残疾人福利性单位声明函</w:t>
      </w:r>
    </w:p>
    <w:bookmarkEnd w:id="455"/>
    <w:bookmarkEnd w:id="456"/>
    <w:p w14:paraId="28C59420">
      <w:pPr>
        <w:spacing w:line="360" w:lineRule="auto"/>
        <w:ind w:firstLine="504" w:firstLineChars="200"/>
        <w:rPr>
          <w:rFonts w:hint="eastAsia" w:ascii="仿宋" w:hAnsi="仿宋" w:eastAsia="仿宋" w:cs="仿宋"/>
          <w:color w:val="000000" w:themeColor="text1"/>
          <w:spacing w:val="6"/>
          <w:sz w:val="24"/>
          <w:szCs w:val="24"/>
          <w14:textFill>
            <w14:solidFill>
              <w14:schemeClr w14:val="tx1"/>
            </w14:solidFill>
          </w14:textFill>
        </w:rPr>
      </w:pPr>
      <w:r>
        <w:rPr>
          <w:rFonts w:hint="eastAsia" w:ascii="仿宋" w:hAnsi="仿宋" w:eastAsia="仿宋" w:cs="仿宋"/>
          <w:color w:val="000000" w:themeColor="text1"/>
          <w:spacing w:val="6"/>
          <w:sz w:val="24"/>
          <w:szCs w:val="24"/>
          <w14:textFill>
            <w14:solidFill>
              <w14:schemeClr w14:val="tx1"/>
            </w14:solidFill>
          </w14:textFill>
        </w:rPr>
        <w:t>本单位郑重声明，根据《财政部 民政部 中国残疾人联合会关于促进残疾人就业政府采购政策的通知》（财库</w:t>
      </w:r>
      <w:r>
        <w:rPr>
          <w:rFonts w:hint="eastAsia" w:ascii="仿宋" w:hAnsi="仿宋" w:eastAsia="仿宋" w:cs="仿宋"/>
          <w:color w:val="000000" w:themeColor="text1"/>
          <w:sz w:val="24"/>
          <w:szCs w:val="24"/>
          <w14:textFill>
            <w14:solidFill>
              <w14:schemeClr w14:val="tx1"/>
            </w14:solidFill>
          </w14:textFill>
        </w:rPr>
        <w:t>〔2017〕 141</w:t>
      </w:r>
      <w:r>
        <w:rPr>
          <w:rFonts w:hint="eastAsia" w:ascii="仿宋" w:hAnsi="仿宋" w:eastAsia="仿宋" w:cs="仿宋"/>
          <w:color w:val="000000" w:themeColor="text1"/>
          <w:spacing w:val="6"/>
          <w:sz w:val="24"/>
          <w:szCs w:val="24"/>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E6237E5">
      <w:pPr>
        <w:spacing w:line="360" w:lineRule="auto"/>
        <w:ind w:firstLine="504" w:firstLineChars="200"/>
        <w:rPr>
          <w:rFonts w:hint="eastAsia" w:ascii="仿宋" w:hAnsi="仿宋" w:eastAsia="仿宋" w:cs="仿宋"/>
          <w:color w:val="000000" w:themeColor="text1"/>
          <w:spacing w:val="6"/>
          <w:sz w:val="24"/>
          <w:szCs w:val="24"/>
          <w14:textFill>
            <w14:solidFill>
              <w14:schemeClr w14:val="tx1"/>
            </w14:solidFill>
          </w14:textFill>
        </w:rPr>
      </w:pPr>
      <w:r>
        <w:rPr>
          <w:rFonts w:hint="eastAsia" w:ascii="仿宋" w:hAnsi="仿宋" w:eastAsia="仿宋" w:cs="仿宋"/>
          <w:color w:val="000000" w:themeColor="text1"/>
          <w:spacing w:val="6"/>
          <w:sz w:val="24"/>
          <w:szCs w:val="24"/>
          <w14:textFill>
            <w14:solidFill>
              <w14:schemeClr w14:val="tx1"/>
            </w14:solidFill>
          </w14:textFill>
        </w:rPr>
        <w:t>本单位对上述声明的真实性负责。如有虚假，将依法承担相应责任。</w:t>
      </w:r>
    </w:p>
    <w:p w14:paraId="5D17469E">
      <w:pPr>
        <w:spacing w:line="360" w:lineRule="auto"/>
        <w:ind w:firstLine="504" w:firstLineChars="200"/>
        <w:rPr>
          <w:rFonts w:hint="eastAsia" w:ascii="仿宋" w:hAnsi="仿宋" w:eastAsia="仿宋" w:cs="仿宋"/>
          <w:color w:val="000000" w:themeColor="text1"/>
          <w:spacing w:val="6"/>
          <w:sz w:val="24"/>
          <w:szCs w:val="24"/>
          <w14:textFill>
            <w14:solidFill>
              <w14:schemeClr w14:val="tx1"/>
            </w14:solidFill>
          </w14:textFill>
        </w:rPr>
      </w:pPr>
    </w:p>
    <w:p w14:paraId="5528946F">
      <w:pPr>
        <w:spacing w:line="360" w:lineRule="auto"/>
        <w:ind w:firstLine="504" w:firstLineChars="200"/>
        <w:rPr>
          <w:rFonts w:hint="eastAsia" w:ascii="仿宋" w:hAnsi="仿宋" w:eastAsia="仿宋" w:cs="仿宋"/>
          <w:color w:val="000000" w:themeColor="text1"/>
          <w:spacing w:val="6"/>
          <w:sz w:val="24"/>
          <w:szCs w:val="24"/>
          <w14:textFill>
            <w14:solidFill>
              <w14:schemeClr w14:val="tx1"/>
            </w14:solidFill>
          </w14:textFill>
        </w:rPr>
      </w:pPr>
    </w:p>
    <w:p w14:paraId="1B8A8899">
      <w:pPr>
        <w:pageBreakBefore w:val="0"/>
        <w:kinsoku/>
        <w:wordWrap w:val="0"/>
        <w:topLinePunct w:val="0"/>
        <w:bidi w:val="0"/>
        <w:spacing w:line="360" w:lineRule="auto"/>
        <w:ind w:firstLine="1200" w:firstLineChars="5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kern w:val="1"/>
          <w:sz w:val="24"/>
          <w:szCs w:val="24"/>
          <w:highlight w:val="none"/>
          <w:lang w:val="en-US" w:eastAsia="zh-CN" w:bidi="ar-SA"/>
        </w:rPr>
        <w:t>供</w:t>
      </w:r>
      <w:r>
        <w:rPr>
          <w:rFonts w:hint="eastAsia" w:ascii="仿宋" w:hAnsi="仿宋" w:eastAsia="仿宋" w:cs="仿宋"/>
          <w:color w:val="auto"/>
          <w:sz w:val="24"/>
          <w:szCs w:val="24"/>
          <w:highlight w:val="none"/>
          <w:lang w:eastAsia="zh-CN"/>
        </w:rPr>
        <w:t>应商</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（盖单位公章）</w:t>
      </w:r>
    </w:p>
    <w:p w14:paraId="3DDE8CA8">
      <w:pPr>
        <w:pStyle w:val="34"/>
        <w:spacing w:before="0" w:beforeAutospacing="0" w:after="0" w:afterAutospacing="0" w:line="480" w:lineRule="auto"/>
        <w:ind w:firstLine="1200" w:firstLineChars="500"/>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auto"/>
          <w:sz w:val="24"/>
          <w:szCs w:val="24"/>
          <w:highlight w:val="none"/>
        </w:rPr>
        <w:t>日  期：</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年</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 xml:space="preserve"> 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rPr>
        <w:t>日</w:t>
      </w:r>
    </w:p>
    <w:p w14:paraId="410C2A6E">
      <w:pPr>
        <w:spacing w:line="360" w:lineRule="auto"/>
        <w:ind w:firstLine="422" w:firstLineChars="200"/>
        <w:rPr>
          <w:rFonts w:hint="eastAsia" w:ascii="仿宋" w:hAnsi="仿宋" w:eastAsia="仿宋" w:cs="仿宋"/>
          <w:b/>
          <w:color w:val="000000" w:themeColor="text1"/>
          <w:szCs w:val="21"/>
          <w14:textFill>
            <w14:solidFill>
              <w14:schemeClr w14:val="tx1"/>
            </w14:solidFill>
          </w14:textFill>
        </w:rPr>
      </w:pPr>
    </w:p>
    <w:p w14:paraId="14F81421">
      <w:pPr>
        <w:spacing w:line="360" w:lineRule="auto"/>
        <w:ind w:firstLine="422" w:firstLineChars="200"/>
        <w:rPr>
          <w:rFonts w:hint="eastAsia" w:ascii="仿宋" w:hAnsi="仿宋" w:eastAsia="仿宋" w:cs="仿宋"/>
          <w:b/>
          <w:color w:val="000000" w:themeColor="text1"/>
          <w:szCs w:val="21"/>
          <w14:textFill>
            <w14:solidFill>
              <w14:schemeClr w14:val="tx1"/>
            </w14:solidFill>
          </w14:textFill>
        </w:rPr>
      </w:pPr>
    </w:p>
    <w:p w14:paraId="1638E688">
      <w:pPr>
        <w:spacing w:line="360" w:lineRule="auto"/>
        <w:ind w:firstLine="422" w:firstLineChars="200"/>
        <w:rPr>
          <w:rFonts w:hint="eastAsia" w:ascii="仿宋" w:hAnsi="仿宋" w:eastAsia="仿宋" w:cs="仿宋"/>
          <w:b/>
          <w:color w:val="000000" w:themeColor="text1"/>
          <w:szCs w:val="21"/>
          <w14:textFill>
            <w14:solidFill>
              <w14:schemeClr w14:val="tx1"/>
            </w14:solidFill>
          </w14:textFill>
        </w:rPr>
      </w:pPr>
    </w:p>
    <w:p w14:paraId="23832CEA">
      <w:pPr>
        <w:spacing w:line="360" w:lineRule="auto"/>
        <w:ind w:firstLine="422" w:firstLineChars="200"/>
        <w:jc w:val="left"/>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注：符合条件的残疾人福利性单位在参加政府采购活动时，应当按《关于促进残疾人就业政府采购政策的通知》（财库〔2017〕141号）提供规定的《残疾人福利性单位声明函》，并对声明的真实性负责。</w:t>
      </w:r>
    </w:p>
    <w:p w14:paraId="13264DA0">
      <w:pPr>
        <w:outlineLvl w:val="9"/>
        <w:rPr>
          <w:rFonts w:hint="eastAsia" w:ascii="仿宋" w:hAnsi="仿宋" w:eastAsia="仿宋" w:cs="仿宋"/>
        </w:rPr>
      </w:pPr>
    </w:p>
    <w:p w14:paraId="0905510B">
      <w:pPr>
        <w:rPr>
          <w:rFonts w:hint="eastAsia" w:ascii="仿宋" w:hAnsi="仿宋" w:eastAsia="仿宋" w:cs="仿宋"/>
          <w:color w:val="000000" w:themeColor="text1"/>
          <w14:textFill>
            <w14:solidFill>
              <w14:schemeClr w14:val="tx1"/>
            </w14:solidFill>
          </w14:textFill>
        </w:rPr>
      </w:pPr>
    </w:p>
    <w:p w14:paraId="1B43E07D">
      <w:pPr>
        <w:rPr>
          <w:rFonts w:hint="eastAsia" w:ascii="仿宋" w:hAnsi="仿宋" w:eastAsia="仿宋" w:cs="仿宋"/>
          <w:color w:val="000000" w:themeColor="text1"/>
          <w14:textFill>
            <w14:solidFill>
              <w14:schemeClr w14:val="tx1"/>
            </w14:solidFill>
          </w14:textFill>
        </w:rPr>
      </w:pPr>
    </w:p>
    <w:p w14:paraId="6CF69701">
      <w:pPr>
        <w:rPr>
          <w:rFonts w:hint="eastAsia" w:ascii="仿宋" w:hAnsi="仿宋" w:eastAsia="仿宋" w:cs="仿宋"/>
          <w:color w:val="000000" w:themeColor="text1"/>
          <w14:textFill>
            <w14:solidFill>
              <w14:schemeClr w14:val="tx1"/>
            </w14:solidFill>
          </w14:textFill>
        </w:rPr>
      </w:pPr>
    </w:p>
    <w:p w14:paraId="0905BF9B">
      <w:pPr>
        <w:rPr>
          <w:rFonts w:hint="eastAsia" w:ascii="仿宋" w:hAnsi="仿宋" w:eastAsia="仿宋" w:cs="仿宋"/>
          <w:color w:val="000000" w:themeColor="text1"/>
          <w14:textFill>
            <w14:solidFill>
              <w14:schemeClr w14:val="tx1"/>
            </w14:solidFill>
          </w14:textFill>
        </w:rPr>
      </w:pPr>
    </w:p>
    <w:p w14:paraId="76C3250B">
      <w:pPr>
        <w:rPr>
          <w:rFonts w:hint="eastAsia" w:ascii="仿宋" w:hAnsi="仿宋" w:eastAsia="仿宋" w:cs="仿宋"/>
          <w:color w:val="000000" w:themeColor="text1"/>
          <w14:textFill>
            <w14:solidFill>
              <w14:schemeClr w14:val="tx1"/>
            </w14:solidFill>
          </w14:textFill>
        </w:rPr>
      </w:pPr>
    </w:p>
    <w:p w14:paraId="0F8AEC93">
      <w:pPr>
        <w:rPr>
          <w:rFonts w:hint="eastAsia" w:ascii="仿宋" w:hAnsi="仿宋" w:eastAsia="仿宋" w:cs="仿宋"/>
          <w:b/>
          <w:snapToGrid/>
          <w:color w:val="000000" w:themeColor="text1"/>
          <w:kern w:val="0"/>
          <w:sz w:val="28"/>
          <w:szCs w:val="28"/>
          <w14:textFill>
            <w14:solidFill>
              <w14:schemeClr w14:val="tx1"/>
            </w14:solidFill>
          </w14:textFill>
        </w:rPr>
      </w:pPr>
      <w:bookmarkStart w:id="457" w:name="_Toc491307327"/>
      <w:bookmarkStart w:id="458" w:name="_Toc491307389"/>
      <w:bookmarkStart w:id="459" w:name="_Toc6496682"/>
      <w:bookmarkStart w:id="460" w:name="_Toc491307509"/>
      <w:bookmarkStart w:id="461" w:name="_Toc494043363"/>
      <w:r>
        <w:rPr>
          <w:rFonts w:hint="eastAsia" w:ascii="仿宋" w:hAnsi="仿宋" w:eastAsia="仿宋" w:cs="仿宋"/>
          <w:b/>
          <w:snapToGrid/>
          <w:color w:val="000000" w:themeColor="text1"/>
          <w:kern w:val="0"/>
          <w:sz w:val="28"/>
          <w:szCs w:val="28"/>
          <w14:textFill>
            <w14:solidFill>
              <w14:schemeClr w14:val="tx1"/>
            </w14:solidFill>
          </w14:textFill>
        </w:rPr>
        <w:br w:type="page"/>
      </w:r>
    </w:p>
    <w:bookmarkEnd w:id="457"/>
    <w:bookmarkEnd w:id="458"/>
    <w:bookmarkEnd w:id="459"/>
    <w:bookmarkEnd w:id="460"/>
    <w:bookmarkEnd w:id="461"/>
    <w:p w14:paraId="4A9B918D">
      <w:pPr>
        <w:pStyle w:val="3"/>
        <w:keepLines w:val="0"/>
        <w:spacing w:before="240" w:after="240" w:line="360" w:lineRule="auto"/>
        <w:jc w:val="center"/>
        <w:rPr>
          <w:rFonts w:hint="eastAsia" w:ascii="仿宋" w:hAnsi="仿宋" w:eastAsia="仿宋" w:cs="仿宋"/>
          <w:b/>
          <w:bCs w:val="0"/>
          <w:color w:val="000000" w:themeColor="text1"/>
          <w:kern w:val="0"/>
          <w:sz w:val="30"/>
          <w:szCs w:val="30"/>
          <w:lang w:val="en-US"/>
          <w14:textFill>
            <w14:solidFill>
              <w14:schemeClr w14:val="tx1"/>
            </w14:solidFill>
          </w14:textFill>
        </w:rPr>
      </w:pPr>
      <w:bookmarkStart w:id="462" w:name="_Toc12032"/>
      <w:bookmarkStart w:id="463" w:name="_Toc491307328"/>
      <w:bookmarkStart w:id="464" w:name="_Toc491307510"/>
      <w:bookmarkStart w:id="465" w:name="_Toc6496683"/>
      <w:bookmarkStart w:id="466" w:name="_Toc494043364"/>
      <w:bookmarkStart w:id="467" w:name="_Toc46924586"/>
      <w:bookmarkStart w:id="468" w:name="_Toc491307390"/>
      <w:r>
        <w:rPr>
          <w:rFonts w:hint="eastAsia" w:ascii="仿宋" w:hAnsi="仿宋" w:eastAsia="仿宋" w:cs="仿宋"/>
          <w:b/>
          <w:bCs w:val="0"/>
          <w:color w:val="000000" w:themeColor="text1"/>
          <w:kern w:val="0"/>
          <w:sz w:val="30"/>
          <w:szCs w:val="30"/>
          <w:lang w:val="en-US" w:eastAsia="zh-CN"/>
          <w14:textFill>
            <w14:solidFill>
              <w14:schemeClr w14:val="tx1"/>
            </w14:solidFill>
          </w14:textFill>
        </w:rPr>
        <w:t>七</w:t>
      </w:r>
      <w:r>
        <w:rPr>
          <w:rFonts w:hint="eastAsia" w:ascii="仿宋" w:hAnsi="仿宋" w:eastAsia="仿宋" w:cs="仿宋"/>
          <w:b/>
          <w:bCs w:val="0"/>
          <w:color w:val="000000" w:themeColor="text1"/>
          <w:kern w:val="0"/>
          <w:sz w:val="30"/>
          <w:szCs w:val="30"/>
          <w:lang w:val="en-US"/>
          <w14:textFill>
            <w14:solidFill>
              <w14:schemeClr w14:val="tx1"/>
            </w14:solidFill>
          </w14:textFill>
        </w:rPr>
        <w:t>、</w:t>
      </w:r>
      <w:bookmarkEnd w:id="462"/>
      <w:bookmarkEnd w:id="463"/>
      <w:bookmarkEnd w:id="464"/>
      <w:bookmarkEnd w:id="465"/>
      <w:bookmarkEnd w:id="466"/>
      <w:bookmarkEnd w:id="467"/>
      <w:bookmarkEnd w:id="468"/>
      <w:r>
        <w:rPr>
          <w:rFonts w:hint="eastAsia" w:ascii="仿宋" w:hAnsi="仿宋" w:eastAsia="仿宋" w:cs="仿宋"/>
          <w:b/>
          <w:bCs w:val="0"/>
          <w:color w:val="000000" w:themeColor="text1"/>
          <w:kern w:val="0"/>
          <w:sz w:val="30"/>
          <w:szCs w:val="30"/>
          <w:lang w:val="en-US"/>
          <w14:textFill>
            <w14:solidFill>
              <w14:schemeClr w14:val="tx1"/>
            </w14:solidFill>
          </w14:textFill>
        </w:rPr>
        <w:t>供应商基本情况表</w:t>
      </w:r>
    </w:p>
    <w:p w14:paraId="7BD68FBB">
      <w:pPr>
        <w:autoSpaceDE w:val="0"/>
        <w:autoSpaceDN w:val="0"/>
        <w:snapToGrid w:val="0"/>
        <w:spacing w:line="360" w:lineRule="auto"/>
        <w:ind w:firstLine="420" w:firstLineChars="200"/>
        <w:textAlignment w:val="bottom"/>
        <w:rPr>
          <w:rFonts w:hint="eastAsia" w:ascii="仿宋" w:hAnsi="仿宋" w:eastAsia="仿宋" w:cs="仿宋"/>
          <w:color w:val="000000" w:themeColor="text1"/>
          <w:szCs w:val="21"/>
          <w14:textFill>
            <w14:solidFill>
              <w14:schemeClr w14:val="tx1"/>
            </w14:solidFill>
          </w14:textFill>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2568"/>
        <w:gridCol w:w="1588"/>
        <w:gridCol w:w="1790"/>
        <w:gridCol w:w="2262"/>
      </w:tblGrid>
      <w:tr w14:paraId="0B78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830" w:type="dxa"/>
            <w:vAlign w:val="center"/>
          </w:tcPr>
          <w:p w14:paraId="01666747">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2568" w:type="dxa"/>
            <w:vAlign w:val="center"/>
          </w:tcPr>
          <w:p w14:paraId="55D21D77">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供应商名称</w:t>
            </w:r>
          </w:p>
        </w:tc>
        <w:tc>
          <w:tcPr>
            <w:tcW w:w="5640" w:type="dxa"/>
            <w:gridSpan w:val="3"/>
            <w:vAlign w:val="center"/>
          </w:tcPr>
          <w:p w14:paraId="207AD225">
            <w:pPr>
              <w:pageBreakBefore w:val="0"/>
              <w:wordWrap w:val="0"/>
              <w:overflowPunct/>
              <w:spacing w:line="560" w:lineRule="exact"/>
              <w:rPr>
                <w:rFonts w:hint="eastAsia" w:ascii="仿宋" w:hAnsi="仿宋" w:eastAsia="仿宋" w:cs="仿宋"/>
                <w:color w:val="auto"/>
                <w:kern w:val="0"/>
                <w:sz w:val="24"/>
                <w:szCs w:val="24"/>
                <w:highlight w:val="none"/>
              </w:rPr>
            </w:pPr>
          </w:p>
        </w:tc>
      </w:tr>
      <w:tr w14:paraId="44577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39EA20F8">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2568" w:type="dxa"/>
            <w:vAlign w:val="center"/>
          </w:tcPr>
          <w:p w14:paraId="519AD598">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注册地址</w:t>
            </w:r>
          </w:p>
        </w:tc>
        <w:tc>
          <w:tcPr>
            <w:tcW w:w="5640" w:type="dxa"/>
            <w:gridSpan w:val="3"/>
            <w:vAlign w:val="center"/>
          </w:tcPr>
          <w:p w14:paraId="7BB0BE97">
            <w:pPr>
              <w:pageBreakBefore w:val="0"/>
              <w:wordWrap w:val="0"/>
              <w:overflowPunct/>
              <w:spacing w:line="560" w:lineRule="exact"/>
              <w:rPr>
                <w:rFonts w:hint="eastAsia" w:ascii="仿宋" w:hAnsi="仿宋" w:eastAsia="仿宋" w:cs="仿宋"/>
                <w:color w:val="auto"/>
                <w:kern w:val="0"/>
                <w:sz w:val="24"/>
                <w:szCs w:val="24"/>
                <w:highlight w:val="none"/>
              </w:rPr>
            </w:pPr>
          </w:p>
        </w:tc>
      </w:tr>
      <w:tr w14:paraId="3ACD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4D66E90E">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2568" w:type="dxa"/>
            <w:vAlign w:val="center"/>
          </w:tcPr>
          <w:p w14:paraId="1025EE4F">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注册资金</w:t>
            </w:r>
          </w:p>
        </w:tc>
        <w:tc>
          <w:tcPr>
            <w:tcW w:w="5640" w:type="dxa"/>
            <w:gridSpan w:val="3"/>
            <w:vAlign w:val="center"/>
          </w:tcPr>
          <w:p w14:paraId="5BC4903E">
            <w:pPr>
              <w:pageBreakBefore w:val="0"/>
              <w:wordWrap w:val="0"/>
              <w:overflowPunct/>
              <w:spacing w:line="560" w:lineRule="exact"/>
              <w:rPr>
                <w:rFonts w:hint="eastAsia" w:ascii="仿宋" w:hAnsi="仿宋" w:eastAsia="仿宋" w:cs="仿宋"/>
                <w:color w:val="auto"/>
                <w:kern w:val="0"/>
                <w:sz w:val="24"/>
                <w:szCs w:val="24"/>
                <w:highlight w:val="none"/>
              </w:rPr>
            </w:pPr>
          </w:p>
        </w:tc>
      </w:tr>
      <w:tr w14:paraId="0306D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08DC9FAE">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2568" w:type="dxa"/>
            <w:vAlign w:val="center"/>
          </w:tcPr>
          <w:p w14:paraId="0D349758">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公司类型</w:t>
            </w:r>
          </w:p>
        </w:tc>
        <w:tc>
          <w:tcPr>
            <w:tcW w:w="5640" w:type="dxa"/>
            <w:gridSpan w:val="3"/>
            <w:vAlign w:val="center"/>
          </w:tcPr>
          <w:p w14:paraId="57EB8B5E">
            <w:pPr>
              <w:pageBreakBefore w:val="0"/>
              <w:wordWrap w:val="0"/>
              <w:overflowPunct/>
              <w:spacing w:line="560" w:lineRule="exact"/>
              <w:rPr>
                <w:rFonts w:hint="eastAsia" w:ascii="仿宋" w:hAnsi="仿宋" w:eastAsia="仿宋" w:cs="仿宋"/>
                <w:color w:val="auto"/>
                <w:kern w:val="0"/>
                <w:sz w:val="24"/>
                <w:szCs w:val="24"/>
                <w:highlight w:val="none"/>
              </w:rPr>
            </w:pPr>
          </w:p>
        </w:tc>
      </w:tr>
      <w:tr w14:paraId="7A6EC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3F88E924">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2568" w:type="dxa"/>
            <w:vAlign w:val="center"/>
          </w:tcPr>
          <w:p w14:paraId="0872116F">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成立日期</w:t>
            </w:r>
          </w:p>
        </w:tc>
        <w:tc>
          <w:tcPr>
            <w:tcW w:w="5640" w:type="dxa"/>
            <w:gridSpan w:val="3"/>
            <w:vAlign w:val="center"/>
          </w:tcPr>
          <w:p w14:paraId="76C11E08">
            <w:pPr>
              <w:pageBreakBefore w:val="0"/>
              <w:wordWrap w:val="0"/>
              <w:overflowPunct/>
              <w:spacing w:line="560" w:lineRule="exact"/>
              <w:rPr>
                <w:rFonts w:hint="eastAsia" w:ascii="仿宋" w:hAnsi="仿宋" w:eastAsia="仿宋" w:cs="仿宋"/>
                <w:color w:val="auto"/>
                <w:kern w:val="0"/>
                <w:sz w:val="24"/>
                <w:szCs w:val="24"/>
                <w:highlight w:val="none"/>
              </w:rPr>
            </w:pPr>
          </w:p>
        </w:tc>
      </w:tr>
      <w:tr w14:paraId="4CC1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59C9C204">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2568" w:type="dxa"/>
            <w:vAlign w:val="center"/>
          </w:tcPr>
          <w:p w14:paraId="550FC179">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营业期限</w:t>
            </w:r>
          </w:p>
        </w:tc>
        <w:tc>
          <w:tcPr>
            <w:tcW w:w="5640" w:type="dxa"/>
            <w:gridSpan w:val="3"/>
            <w:vAlign w:val="center"/>
          </w:tcPr>
          <w:p w14:paraId="18FC86BA">
            <w:pPr>
              <w:pageBreakBefore w:val="0"/>
              <w:wordWrap w:val="0"/>
              <w:overflowPunct/>
              <w:spacing w:line="560" w:lineRule="exact"/>
              <w:rPr>
                <w:rFonts w:hint="eastAsia" w:ascii="仿宋" w:hAnsi="仿宋" w:eastAsia="仿宋" w:cs="仿宋"/>
                <w:color w:val="auto"/>
                <w:kern w:val="0"/>
                <w:sz w:val="24"/>
                <w:szCs w:val="24"/>
                <w:highlight w:val="none"/>
              </w:rPr>
            </w:pPr>
          </w:p>
        </w:tc>
      </w:tr>
      <w:tr w14:paraId="3ECFA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267E88B8">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2568" w:type="dxa"/>
            <w:vAlign w:val="center"/>
          </w:tcPr>
          <w:p w14:paraId="181FE6EE">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法定代表人</w:t>
            </w:r>
          </w:p>
        </w:tc>
        <w:tc>
          <w:tcPr>
            <w:tcW w:w="5640" w:type="dxa"/>
            <w:gridSpan w:val="3"/>
            <w:vAlign w:val="center"/>
          </w:tcPr>
          <w:p w14:paraId="7C404612">
            <w:pPr>
              <w:pageBreakBefore w:val="0"/>
              <w:wordWrap w:val="0"/>
              <w:overflowPunct/>
              <w:spacing w:line="560" w:lineRule="exact"/>
              <w:jc w:val="center"/>
              <w:rPr>
                <w:rFonts w:hint="eastAsia" w:ascii="仿宋" w:hAnsi="仿宋" w:eastAsia="仿宋" w:cs="仿宋"/>
                <w:color w:val="auto"/>
                <w:kern w:val="0"/>
                <w:sz w:val="24"/>
                <w:szCs w:val="24"/>
                <w:highlight w:val="none"/>
              </w:rPr>
            </w:pPr>
          </w:p>
        </w:tc>
      </w:tr>
      <w:tr w14:paraId="2E28B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293FFE64">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2568" w:type="dxa"/>
            <w:vAlign w:val="center"/>
          </w:tcPr>
          <w:p w14:paraId="3FD089F8">
            <w:pPr>
              <w:pageBreakBefore w:val="0"/>
              <w:wordWrap w:val="0"/>
              <w:overflowPunct/>
              <w:spacing w:line="56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开户银行</w:t>
            </w:r>
          </w:p>
        </w:tc>
        <w:tc>
          <w:tcPr>
            <w:tcW w:w="1588" w:type="dxa"/>
            <w:vAlign w:val="center"/>
          </w:tcPr>
          <w:p w14:paraId="4169B4BE">
            <w:pPr>
              <w:pageBreakBefore w:val="0"/>
              <w:wordWrap w:val="0"/>
              <w:overflowPunct/>
              <w:spacing w:line="560" w:lineRule="exact"/>
              <w:jc w:val="center"/>
              <w:rPr>
                <w:rFonts w:hint="eastAsia" w:ascii="仿宋" w:hAnsi="仿宋" w:eastAsia="仿宋" w:cs="仿宋"/>
                <w:color w:val="auto"/>
                <w:kern w:val="0"/>
                <w:sz w:val="24"/>
                <w:szCs w:val="24"/>
                <w:highlight w:val="none"/>
              </w:rPr>
            </w:pPr>
          </w:p>
        </w:tc>
        <w:tc>
          <w:tcPr>
            <w:tcW w:w="1790" w:type="dxa"/>
            <w:vAlign w:val="center"/>
          </w:tcPr>
          <w:p w14:paraId="3B65CF7F">
            <w:pPr>
              <w:pageBreakBefore w:val="0"/>
              <w:wordWrap w:val="0"/>
              <w:overflowPunct/>
              <w:spacing w:line="56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开户银行账号</w:t>
            </w:r>
          </w:p>
        </w:tc>
        <w:tc>
          <w:tcPr>
            <w:tcW w:w="2262" w:type="dxa"/>
            <w:vAlign w:val="center"/>
          </w:tcPr>
          <w:p w14:paraId="6E7AF080">
            <w:pPr>
              <w:pageBreakBefore w:val="0"/>
              <w:wordWrap w:val="0"/>
              <w:overflowPunct/>
              <w:spacing w:line="560" w:lineRule="exact"/>
              <w:jc w:val="center"/>
              <w:rPr>
                <w:rFonts w:hint="eastAsia" w:ascii="仿宋" w:hAnsi="仿宋" w:eastAsia="仿宋" w:cs="仿宋"/>
                <w:color w:val="auto"/>
                <w:kern w:val="0"/>
                <w:sz w:val="24"/>
                <w:szCs w:val="24"/>
                <w:highlight w:val="none"/>
              </w:rPr>
            </w:pPr>
          </w:p>
        </w:tc>
      </w:tr>
      <w:tr w14:paraId="088C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0" w:type="dxa"/>
            <w:vAlign w:val="center"/>
          </w:tcPr>
          <w:p w14:paraId="1F75E779">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2568" w:type="dxa"/>
            <w:vAlign w:val="center"/>
          </w:tcPr>
          <w:p w14:paraId="6B06FA86">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公司电话</w:t>
            </w:r>
          </w:p>
        </w:tc>
        <w:tc>
          <w:tcPr>
            <w:tcW w:w="1588" w:type="dxa"/>
            <w:vAlign w:val="center"/>
          </w:tcPr>
          <w:p w14:paraId="07F458B1">
            <w:pPr>
              <w:pageBreakBefore w:val="0"/>
              <w:wordWrap w:val="0"/>
              <w:overflowPunct/>
              <w:spacing w:line="560" w:lineRule="exact"/>
              <w:jc w:val="center"/>
              <w:rPr>
                <w:rFonts w:hint="eastAsia" w:ascii="仿宋" w:hAnsi="仿宋" w:eastAsia="仿宋" w:cs="仿宋"/>
                <w:color w:val="auto"/>
                <w:kern w:val="0"/>
                <w:sz w:val="24"/>
                <w:szCs w:val="24"/>
                <w:highlight w:val="none"/>
              </w:rPr>
            </w:pPr>
          </w:p>
        </w:tc>
        <w:tc>
          <w:tcPr>
            <w:tcW w:w="1790" w:type="dxa"/>
            <w:vAlign w:val="center"/>
          </w:tcPr>
          <w:p w14:paraId="77F250D4">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公司传真</w:t>
            </w:r>
          </w:p>
        </w:tc>
        <w:tc>
          <w:tcPr>
            <w:tcW w:w="2262" w:type="dxa"/>
            <w:vAlign w:val="center"/>
          </w:tcPr>
          <w:p w14:paraId="1231EBD4">
            <w:pPr>
              <w:pageBreakBefore w:val="0"/>
              <w:wordWrap w:val="0"/>
              <w:overflowPunct/>
              <w:spacing w:line="560" w:lineRule="exact"/>
              <w:jc w:val="center"/>
              <w:rPr>
                <w:rFonts w:hint="eastAsia" w:ascii="仿宋" w:hAnsi="仿宋" w:eastAsia="仿宋" w:cs="仿宋"/>
                <w:color w:val="auto"/>
                <w:kern w:val="0"/>
                <w:sz w:val="24"/>
                <w:szCs w:val="24"/>
                <w:highlight w:val="none"/>
              </w:rPr>
            </w:pPr>
          </w:p>
        </w:tc>
      </w:tr>
      <w:tr w14:paraId="04FB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7" w:hRule="atLeast"/>
          <w:jc w:val="center"/>
        </w:trPr>
        <w:tc>
          <w:tcPr>
            <w:tcW w:w="830" w:type="dxa"/>
            <w:vAlign w:val="center"/>
          </w:tcPr>
          <w:p w14:paraId="64357066">
            <w:pPr>
              <w:pageBreakBefore w:val="0"/>
              <w:wordWrap w:val="0"/>
              <w:overflowPunct/>
              <w:spacing w:line="5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2568" w:type="dxa"/>
            <w:vAlign w:val="center"/>
          </w:tcPr>
          <w:p w14:paraId="0033954D">
            <w:pPr>
              <w:pageBreakBefore w:val="0"/>
              <w:wordWrap w:val="0"/>
              <w:overflowPunct/>
              <w:spacing w:line="56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经营范围</w:t>
            </w:r>
          </w:p>
        </w:tc>
        <w:tc>
          <w:tcPr>
            <w:tcW w:w="5640" w:type="dxa"/>
            <w:gridSpan w:val="3"/>
            <w:vAlign w:val="center"/>
          </w:tcPr>
          <w:p w14:paraId="3D52E301">
            <w:pPr>
              <w:pageBreakBefore w:val="0"/>
              <w:wordWrap w:val="0"/>
              <w:overflowPunct/>
              <w:spacing w:line="560" w:lineRule="exact"/>
              <w:jc w:val="center"/>
              <w:rPr>
                <w:rFonts w:hint="eastAsia" w:ascii="仿宋" w:hAnsi="仿宋" w:eastAsia="仿宋" w:cs="仿宋"/>
                <w:color w:val="auto"/>
                <w:kern w:val="0"/>
                <w:sz w:val="24"/>
                <w:szCs w:val="24"/>
                <w:highlight w:val="none"/>
              </w:rPr>
            </w:pPr>
          </w:p>
        </w:tc>
      </w:tr>
    </w:tbl>
    <w:p w14:paraId="4B7B6A1B">
      <w:pPr>
        <w:autoSpaceDE w:val="0"/>
        <w:autoSpaceDN w:val="0"/>
        <w:snapToGrid w:val="0"/>
        <w:spacing w:line="360" w:lineRule="auto"/>
        <w:ind w:firstLine="420" w:firstLineChars="200"/>
        <w:textAlignment w:val="bottom"/>
        <w:rPr>
          <w:rFonts w:hint="eastAsia" w:ascii="仿宋" w:hAnsi="仿宋" w:eastAsia="仿宋" w:cs="仿宋"/>
          <w:bCs/>
          <w:color w:val="000000" w:themeColor="text1"/>
          <w:szCs w:val="21"/>
          <w14:textFill>
            <w14:solidFill>
              <w14:schemeClr w14:val="tx1"/>
            </w14:solidFill>
          </w14:textFill>
        </w:rPr>
      </w:pPr>
    </w:p>
    <w:p w14:paraId="4375CF58">
      <w:pPr>
        <w:rPr>
          <w:rFonts w:hint="eastAsia" w:ascii="仿宋" w:hAnsi="仿宋" w:eastAsia="仿宋" w:cs="仿宋"/>
          <w:color w:val="000000" w:themeColor="text1"/>
          <w14:textFill>
            <w14:solidFill>
              <w14:schemeClr w14:val="tx1"/>
            </w14:solidFill>
          </w14:textFill>
        </w:rPr>
      </w:pPr>
    </w:p>
    <w:p w14:paraId="64A67250">
      <w:pPr>
        <w:pStyle w:val="3"/>
        <w:keepLines w:val="0"/>
        <w:spacing w:before="240" w:after="240" w:line="360" w:lineRule="auto"/>
        <w:jc w:val="center"/>
        <w:rPr>
          <w:rFonts w:hint="eastAsia" w:ascii="仿宋" w:hAnsi="仿宋" w:eastAsia="仿宋" w:cs="仿宋"/>
          <w:b/>
          <w:bCs w:val="0"/>
          <w:color w:val="000000" w:themeColor="text1"/>
          <w:kern w:val="0"/>
          <w:sz w:val="30"/>
          <w:szCs w:val="30"/>
          <w:lang w:val="en-US"/>
          <w14:textFill>
            <w14:solidFill>
              <w14:schemeClr w14:val="tx1"/>
            </w14:solidFill>
          </w14:textFill>
        </w:rPr>
      </w:pPr>
      <w:bookmarkStart w:id="469" w:name="_Toc10283"/>
      <w:bookmarkStart w:id="470" w:name="_Toc46924587"/>
      <w:bookmarkStart w:id="471" w:name="_Toc6496687"/>
      <w:bookmarkStart w:id="472" w:name="_Toc488633622"/>
      <w:bookmarkStart w:id="473" w:name="_Toc489145757"/>
      <w:bookmarkStart w:id="474" w:name="_Toc489197861"/>
      <w:bookmarkStart w:id="475" w:name="_Toc481694851"/>
      <w:bookmarkStart w:id="476" w:name="_Toc213141100"/>
      <w:r>
        <w:rPr>
          <w:rFonts w:hint="eastAsia" w:ascii="仿宋" w:hAnsi="仿宋" w:eastAsia="仿宋" w:cs="仿宋"/>
          <w:b/>
          <w:bCs w:val="0"/>
          <w:color w:val="000000" w:themeColor="text1"/>
          <w:kern w:val="0"/>
          <w:sz w:val="30"/>
          <w:szCs w:val="30"/>
          <w:lang w:val="en-US" w:eastAsia="zh-CN"/>
          <w14:textFill>
            <w14:solidFill>
              <w14:schemeClr w14:val="tx1"/>
            </w14:solidFill>
          </w14:textFill>
        </w:rPr>
        <w:t>八</w:t>
      </w:r>
      <w:r>
        <w:rPr>
          <w:rFonts w:hint="eastAsia" w:ascii="仿宋" w:hAnsi="仿宋" w:eastAsia="仿宋" w:cs="仿宋"/>
          <w:b/>
          <w:bCs w:val="0"/>
          <w:color w:val="000000" w:themeColor="text1"/>
          <w:kern w:val="0"/>
          <w:sz w:val="30"/>
          <w:szCs w:val="30"/>
          <w:lang w:val="en-US"/>
          <w14:textFill>
            <w14:solidFill>
              <w14:schemeClr w14:val="tx1"/>
            </w14:solidFill>
          </w14:textFill>
        </w:rPr>
        <w:t>、商务条款偏离表</w:t>
      </w:r>
      <w:bookmarkEnd w:id="469"/>
      <w:bookmarkEnd w:id="470"/>
      <w:bookmarkEnd w:id="471"/>
    </w:p>
    <w:p w14:paraId="21CBF0DD">
      <w:pPr>
        <w:pStyle w:val="19"/>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供应商须逐条对应竞争性磋商中要求的商务条款，认真填写该表。</w:t>
      </w:r>
    </w:p>
    <w:p w14:paraId="70C4A84C">
      <w:pPr>
        <w:pStyle w:val="19"/>
        <w:spacing w:line="360" w:lineRule="auto"/>
        <w:ind w:firstLine="422" w:firstLineChars="201"/>
        <w:rPr>
          <w:rFonts w:hint="eastAsia" w:ascii="仿宋" w:hAnsi="仿宋" w:eastAsia="仿宋" w:cs="仿宋"/>
          <w:bCs/>
          <w:color w:val="000000" w:themeColor="text1"/>
          <w:szCs w:val="21"/>
          <w:highlight w:val="none"/>
          <w:lang w:eastAsia="zh-CN"/>
          <w14:textFill>
            <w14:solidFill>
              <w14:schemeClr w14:val="tx1"/>
            </w14:solidFill>
          </w14:textFill>
        </w:rPr>
      </w:pPr>
      <w:r>
        <w:rPr>
          <w:rFonts w:hint="eastAsia" w:ascii="仿宋" w:hAnsi="仿宋" w:eastAsia="仿宋" w:cs="仿宋"/>
          <w:bCs/>
          <w:color w:val="000000" w:themeColor="text1"/>
          <w:szCs w:val="21"/>
          <w:highlight w:val="none"/>
          <w14:textFill>
            <w14:solidFill>
              <w14:schemeClr w14:val="tx1"/>
            </w14:solidFill>
          </w14:textFill>
        </w:rPr>
        <w:t>项目名称：</w:t>
      </w:r>
      <w:r>
        <w:rPr>
          <w:rFonts w:hint="eastAsia" w:ascii="仿宋" w:hAnsi="仿宋" w:eastAsia="仿宋" w:cs="仿宋"/>
          <w:bCs/>
          <w:color w:val="000000" w:themeColor="text1"/>
          <w:szCs w:val="21"/>
          <w:highlight w:val="none"/>
          <w:lang w:eastAsia="zh-CN"/>
          <w14:textFill>
            <w14:solidFill>
              <w14:schemeClr w14:val="tx1"/>
            </w14:solidFill>
          </w14:textFill>
        </w:rPr>
        <w:t>国家重点生态功能区景洪市南昆河流域农村生活污水治理工程监理服务</w:t>
      </w:r>
    </w:p>
    <w:p w14:paraId="610920D0">
      <w:pPr>
        <w:pStyle w:val="19"/>
        <w:spacing w:line="360" w:lineRule="auto"/>
        <w:ind w:firstLine="422" w:firstLineChars="201"/>
        <w:outlineLvl w:val="9"/>
        <w:rPr>
          <w:rFonts w:hint="eastAsia" w:ascii="仿宋" w:hAnsi="仿宋" w:eastAsia="仿宋" w:cs="仿宋"/>
          <w:bCs/>
          <w:color w:val="000000" w:themeColor="text1"/>
          <w:szCs w:val="21"/>
          <w:highlight w:val="none"/>
          <w:lang w:eastAsia="zh-CN"/>
          <w14:textFill>
            <w14:solidFill>
              <w14:schemeClr w14:val="tx1"/>
            </w14:solidFill>
          </w14:textFill>
        </w:rPr>
      </w:pPr>
      <w:r>
        <w:rPr>
          <w:rFonts w:hint="eastAsia" w:ascii="仿宋" w:hAnsi="仿宋" w:eastAsia="仿宋" w:cs="仿宋"/>
          <w:bCs/>
          <w:color w:val="000000" w:themeColor="text1"/>
          <w:szCs w:val="21"/>
          <w:highlight w:val="none"/>
          <w14:textFill>
            <w14:solidFill>
              <w14:schemeClr w14:val="tx1"/>
            </w14:solidFill>
          </w14:textFill>
        </w:rPr>
        <w:t>项目编号：YNZZBN202503-08</w:t>
      </w:r>
    </w:p>
    <w:p w14:paraId="5771F798">
      <w:pPr>
        <w:spacing w:line="360" w:lineRule="auto"/>
        <w:ind w:firstLine="420" w:firstLineChars="200"/>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t>A、</w:t>
      </w:r>
      <w:r>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sym w:font="Wingdings 2" w:char="00A3"/>
      </w:r>
      <w:r>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t xml:space="preserve"> 我公司已详细阅读竞争性磋商文件中各项商务要求，所有商务要求均无偏离，成交后我公司将严格遵照执行。</w:t>
      </w:r>
    </w:p>
    <w:p w14:paraId="4FD8F4CC">
      <w:pPr>
        <w:spacing w:line="360" w:lineRule="auto"/>
        <w:ind w:firstLine="420" w:firstLineChars="200"/>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snapToGrid/>
          <w:color w:val="000000" w:themeColor="text1"/>
          <w:kern w:val="2"/>
          <w:sz w:val="21"/>
          <w:szCs w:val="21"/>
          <w:highlight w:val="none"/>
          <w:lang w:val="en-US" w:eastAsia="zh-CN" w:bidi="ar-SA"/>
          <w14:textFill>
            <w14:solidFill>
              <w14:schemeClr w14:val="tx1"/>
            </w14:solidFill>
          </w14:textFill>
        </w:rPr>
        <w:t>B、□我公司已详细阅读竞争性磋商文件中各项商务要求，除下述条款有偏离外，其余条款我公司均予以认可，成交后将严格遵照执行。</w:t>
      </w:r>
    </w:p>
    <w:tbl>
      <w:tblPr>
        <w:tblStyle w:val="37"/>
        <w:tblW w:w="8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3193"/>
        <w:gridCol w:w="3015"/>
        <w:gridCol w:w="1407"/>
      </w:tblGrid>
      <w:tr w14:paraId="1DEC4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14:paraId="7A470ECB">
            <w:pPr>
              <w:pStyle w:val="19"/>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3193" w:type="dxa"/>
            <w:vAlign w:val="center"/>
          </w:tcPr>
          <w:p w14:paraId="745398D9">
            <w:pPr>
              <w:pStyle w:val="19"/>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磋商文件的商务条款</w:t>
            </w:r>
          </w:p>
        </w:tc>
        <w:tc>
          <w:tcPr>
            <w:tcW w:w="3015" w:type="dxa"/>
            <w:vAlign w:val="center"/>
          </w:tcPr>
          <w:p w14:paraId="0DF20E37">
            <w:pPr>
              <w:pStyle w:val="19"/>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响应文件响应情况</w:t>
            </w:r>
          </w:p>
        </w:tc>
        <w:tc>
          <w:tcPr>
            <w:tcW w:w="1407" w:type="dxa"/>
            <w:vAlign w:val="center"/>
          </w:tcPr>
          <w:p w14:paraId="61F82D4A">
            <w:pPr>
              <w:pStyle w:val="19"/>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偏离</w:t>
            </w:r>
          </w:p>
        </w:tc>
      </w:tr>
      <w:tr w14:paraId="6ED87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14:paraId="728F5FA2">
            <w:pPr>
              <w:pStyle w:val="19"/>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3193" w:type="dxa"/>
            <w:vAlign w:val="center"/>
          </w:tcPr>
          <w:p w14:paraId="54929B4D">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3015" w:type="dxa"/>
            <w:vAlign w:val="center"/>
          </w:tcPr>
          <w:p w14:paraId="4D1A8CDF">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1407" w:type="dxa"/>
            <w:vAlign w:val="center"/>
          </w:tcPr>
          <w:p w14:paraId="65EF5471">
            <w:pPr>
              <w:pStyle w:val="19"/>
              <w:spacing w:line="360" w:lineRule="auto"/>
              <w:rPr>
                <w:rFonts w:hint="eastAsia" w:ascii="仿宋" w:hAnsi="仿宋" w:eastAsia="仿宋" w:cs="仿宋"/>
                <w:color w:val="000000" w:themeColor="text1"/>
                <w:szCs w:val="21"/>
                <w14:textFill>
                  <w14:solidFill>
                    <w14:schemeClr w14:val="tx1"/>
                  </w14:solidFill>
                </w14:textFill>
              </w:rPr>
            </w:pPr>
          </w:p>
        </w:tc>
      </w:tr>
      <w:tr w14:paraId="08B27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14:paraId="237FB808">
            <w:pPr>
              <w:pStyle w:val="19"/>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3193" w:type="dxa"/>
            <w:vAlign w:val="center"/>
          </w:tcPr>
          <w:p w14:paraId="4DEEBCF7">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3015" w:type="dxa"/>
            <w:vAlign w:val="center"/>
          </w:tcPr>
          <w:p w14:paraId="3486EE94">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1407" w:type="dxa"/>
            <w:vAlign w:val="center"/>
          </w:tcPr>
          <w:p w14:paraId="25DDBEFC">
            <w:pPr>
              <w:pStyle w:val="19"/>
              <w:spacing w:line="360" w:lineRule="auto"/>
              <w:rPr>
                <w:rFonts w:hint="eastAsia" w:ascii="仿宋" w:hAnsi="仿宋" w:eastAsia="仿宋" w:cs="仿宋"/>
                <w:color w:val="000000" w:themeColor="text1"/>
                <w:szCs w:val="21"/>
                <w14:textFill>
                  <w14:solidFill>
                    <w14:schemeClr w14:val="tx1"/>
                  </w14:solidFill>
                </w14:textFill>
              </w:rPr>
            </w:pPr>
          </w:p>
        </w:tc>
      </w:tr>
      <w:tr w14:paraId="5E92D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14:paraId="1B7B06C2">
            <w:pPr>
              <w:pStyle w:val="19"/>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3193" w:type="dxa"/>
            <w:vAlign w:val="center"/>
          </w:tcPr>
          <w:p w14:paraId="36349A46">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3015" w:type="dxa"/>
            <w:vAlign w:val="center"/>
          </w:tcPr>
          <w:p w14:paraId="538531E3">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1407" w:type="dxa"/>
            <w:vAlign w:val="center"/>
          </w:tcPr>
          <w:p w14:paraId="30C5F5F3">
            <w:pPr>
              <w:pStyle w:val="19"/>
              <w:spacing w:line="360" w:lineRule="auto"/>
              <w:rPr>
                <w:rFonts w:hint="eastAsia" w:ascii="仿宋" w:hAnsi="仿宋" w:eastAsia="仿宋" w:cs="仿宋"/>
                <w:color w:val="000000" w:themeColor="text1"/>
                <w:szCs w:val="21"/>
                <w14:textFill>
                  <w14:solidFill>
                    <w14:schemeClr w14:val="tx1"/>
                  </w14:solidFill>
                </w14:textFill>
              </w:rPr>
            </w:pPr>
          </w:p>
        </w:tc>
      </w:tr>
      <w:tr w14:paraId="66B65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 w:type="dxa"/>
            <w:vAlign w:val="center"/>
          </w:tcPr>
          <w:p w14:paraId="61D1BEE5">
            <w:pPr>
              <w:pStyle w:val="19"/>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3193" w:type="dxa"/>
            <w:vAlign w:val="center"/>
          </w:tcPr>
          <w:p w14:paraId="0DAD4274">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3015" w:type="dxa"/>
            <w:vAlign w:val="center"/>
          </w:tcPr>
          <w:p w14:paraId="21EB1E5F">
            <w:pPr>
              <w:pStyle w:val="19"/>
              <w:spacing w:line="360" w:lineRule="auto"/>
              <w:rPr>
                <w:rFonts w:hint="eastAsia" w:ascii="仿宋" w:hAnsi="仿宋" w:eastAsia="仿宋" w:cs="仿宋"/>
                <w:color w:val="000000" w:themeColor="text1"/>
                <w:szCs w:val="21"/>
                <w14:textFill>
                  <w14:solidFill>
                    <w14:schemeClr w14:val="tx1"/>
                  </w14:solidFill>
                </w14:textFill>
              </w:rPr>
            </w:pPr>
          </w:p>
        </w:tc>
        <w:tc>
          <w:tcPr>
            <w:tcW w:w="1407" w:type="dxa"/>
            <w:vAlign w:val="center"/>
          </w:tcPr>
          <w:p w14:paraId="24937F3B">
            <w:pPr>
              <w:pStyle w:val="19"/>
              <w:spacing w:line="360" w:lineRule="auto"/>
              <w:rPr>
                <w:rFonts w:hint="eastAsia" w:ascii="仿宋" w:hAnsi="仿宋" w:eastAsia="仿宋" w:cs="仿宋"/>
                <w:color w:val="000000" w:themeColor="text1"/>
                <w:szCs w:val="21"/>
                <w14:textFill>
                  <w14:solidFill>
                    <w14:schemeClr w14:val="tx1"/>
                  </w14:solidFill>
                </w14:textFill>
              </w:rPr>
            </w:pPr>
          </w:p>
        </w:tc>
      </w:tr>
    </w:tbl>
    <w:p w14:paraId="61466ADA">
      <w:pPr>
        <w:rPr>
          <w:rFonts w:hint="eastAsia" w:ascii="仿宋" w:hAnsi="仿宋" w:eastAsia="仿宋" w:cs="仿宋"/>
          <w:color w:val="000000" w:themeColor="text1"/>
          <w:lang w:val="en-US" w:eastAsia="zh-CN"/>
          <w14:textFill>
            <w14:solidFill>
              <w14:schemeClr w14:val="tx1"/>
            </w14:solidFill>
          </w14:textFill>
        </w:rPr>
      </w:pPr>
    </w:p>
    <w:p w14:paraId="5823DE19">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注：</w:t>
      </w:r>
      <w:r>
        <w:rPr>
          <w:rFonts w:hint="eastAsia" w:ascii="仿宋" w:hAnsi="仿宋" w:eastAsia="仿宋" w:cs="仿宋"/>
          <w:color w:val="000000" w:themeColor="text1"/>
          <w:lang w:eastAsia="zh-CN"/>
          <w14:textFill>
            <w14:solidFill>
              <w14:schemeClr w14:val="tx1"/>
            </w14:solidFill>
          </w14:textFill>
        </w:rPr>
        <w:t>供应商</w:t>
      </w:r>
      <w:r>
        <w:rPr>
          <w:rFonts w:hint="eastAsia" w:ascii="仿宋" w:hAnsi="仿宋" w:eastAsia="仿宋" w:cs="仿宋"/>
          <w:color w:val="000000" w:themeColor="text1"/>
          <w14:textFill>
            <w14:solidFill>
              <w14:schemeClr w14:val="tx1"/>
            </w14:solidFill>
          </w14:textFill>
        </w:rPr>
        <w:t>根据应根据实际投标情况，填写本表格，若无偏离，则勾选A项，签字盖章即可。若有偏离，则勾选B项，按表格要求及实际情况填写后，签字盖章。</w:t>
      </w:r>
    </w:p>
    <w:p w14:paraId="04703970">
      <w:pPr>
        <w:rPr>
          <w:rFonts w:hint="eastAsia" w:ascii="仿宋" w:hAnsi="仿宋" w:eastAsia="仿宋" w:cs="仿宋"/>
          <w:color w:val="000000" w:themeColor="text1"/>
          <w14:textFill>
            <w14:solidFill>
              <w14:schemeClr w14:val="tx1"/>
            </w14:solidFill>
          </w14:textFill>
        </w:rPr>
      </w:pPr>
    </w:p>
    <w:p w14:paraId="20507667">
      <w:pPr>
        <w:rPr>
          <w:rFonts w:hint="eastAsia" w:ascii="仿宋" w:hAnsi="仿宋" w:eastAsia="仿宋" w:cs="仿宋"/>
          <w:color w:val="000000" w:themeColor="text1"/>
          <w14:textFill>
            <w14:solidFill>
              <w14:schemeClr w14:val="tx1"/>
            </w14:solidFill>
          </w14:textFill>
        </w:rPr>
      </w:pPr>
    </w:p>
    <w:p w14:paraId="77D7DC53">
      <w:pPr>
        <w:pStyle w:val="19"/>
        <w:spacing w:line="480" w:lineRule="auto"/>
        <w:rPr>
          <w:rFonts w:hint="default" w:ascii="仿宋" w:hAnsi="仿宋" w:eastAsia="仿宋" w:cs="仿宋"/>
          <w:color w:val="000000" w:themeColor="text1"/>
          <w:szCs w:val="21"/>
          <w:u w:val="single"/>
          <w:lang w:val="en-US" w:eastAsia="zh-CN"/>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供应商（加盖公章)：</w:t>
      </w:r>
      <w:r>
        <w:rPr>
          <w:rFonts w:hint="eastAsia" w:ascii="仿宋" w:hAnsi="仿宋" w:eastAsia="仿宋" w:cs="仿宋"/>
          <w:color w:val="000000" w:themeColor="text1"/>
          <w:szCs w:val="21"/>
          <w:u w:val="single"/>
          <w:lang w:val="en-US" w:eastAsia="zh-CN"/>
          <w14:textFill>
            <w14:solidFill>
              <w14:schemeClr w14:val="tx1"/>
            </w14:solidFill>
          </w14:textFill>
        </w:rPr>
        <w:t xml:space="preserve">                     </w:t>
      </w:r>
    </w:p>
    <w:p w14:paraId="66F19AC2">
      <w:pPr>
        <w:pStyle w:val="19"/>
        <w:spacing w:line="48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法定代表人或委托代理人（签字）：</w:t>
      </w:r>
      <w:r>
        <w:rPr>
          <w:rFonts w:hint="eastAsia" w:ascii="仿宋" w:hAnsi="仿宋" w:eastAsia="仿宋" w:cs="仿宋"/>
          <w:color w:val="000000" w:themeColor="text1"/>
          <w:szCs w:val="21"/>
          <w:u w:val="single"/>
          <w:lang w:val="en-US" w:eastAsia="zh-CN"/>
          <w14:textFill>
            <w14:solidFill>
              <w14:schemeClr w14:val="tx1"/>
            </w14:solidFill>
          </w14:textFill>
        </w:rPr>
        <w:t xml:space="preserve">                     </w:t>
      </w:r>
    </w:p>
    <w:p w14:paraId="039DCB2F">
      <w:pPr>
        <w:pStyle w:val="19"/>
        <w:spacing w:line="48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日期：</w:t>
      </w:r>
      <w:r>
        <w:rPr>
          <w:rFonts w:hint="eastAsia" w:ascii="仿宋" w:hAnsi="仿宋" w:eastAsia="仿宋" w:cs="仿宋"/>
          <w:color w:val="000000" w:themeColor="text1"/>
          <w:szCs w:val="21"/>
          <w:u w:val="single"/>
          <w:lang w:val="en-US" w:eastAsia="zh-CN"/>
          <w14:textFill>
            <w14:solidFill>
              <w14:schemeClr w14:val="tx1"/>
            </w14:solidFill>
          </w14:textFill>
        </w:rPr>
        <w:t xml:space="preserve">   年   月  日    </w:t>
      </w:r>
    </w:p>
    <w:p w14:paraId="72757876">
      <w:pPr>
        <w:rPr>
          <w:rFonts w:hint="eastAsia" w:ascii="仿宋" w:hAnsi="仿宋" w:eastAsia="仿宋" w:cs="仿宋"/>
          <w:color w:val="000000" w:themeColor="text1"/>
          <w14:textFill>
            <w14:solidFill>
              <w14:schemeClr w14:val="tx1"/>
            </w14:solidFill>
          </w14:textFill>
        </w:rPr>
      </w:pPr>
    </w:p>
    <w:p w14:paraId="37D7662A">
      <w:pPr>
        <w:rPr>
          <w:rFonts w:hint="eastAsia" w:ascii="仿宋" w:hAnsi="仿宋" w:eastAsia="仿宋" w:cs="仿宋"/>
          <w:b/>
          <w:snapToGrid/>
          <w:color w:val="000000" w:themeColor="text1"/>
          <w:kern w:val="0"/>
          <w:sz w:val="28"/>
          <w:szCs w:val="28"/>
          <w14:textFill>
            <w14:solidFill>
              <w14:schemeClr w14:val="tx1"/>
            </w14:solidFill>
          </w14:textFill>
        </w:rPr>
      </w:pPr>
      <w:r>
        <w:rPr>
          <w:rFonts w:hint="eastAsia" w:ascii="仿宋" w:hAnsi="仿宋" w:eastAsia="仿宋" w:cs="仿宋"/>
          <w:b/>
          <w:snapToGrid/>
          <w:color w:val="000000" w:themeColor="text1"/>
          <w:kern w:val="0"/>
          <w:sz w:val="28"/>
          <w:szCs w:val="28"/>
          <w14:textFill>
            <w14:solidFill>
              <w14:schemeClr w14:val="tx1"/>
            </w14:solidFill>
          </w14:textFill>
        </w:rPr>
        <w:br w:type="page"/>
      </w:r>
    </w:p>
    <w:p w14:paraId="7E6E9180">
      <w:pPr>
        <w:keepNext/>
        <w:keepLines/>
        <w:numPr>
          <w:ilvl w:val="2"/>
          <w:numId w:val="0"/>
        </w:numPr>
        <w:tabs>
          <w:tab w:val="left" w:pos="432"/>
          <w:tab w:val="left" w:pos="720"/>
        </w:tabs>
        <w:spacing w:before="240" w:after="240" w:line="360" w:lineRule="auto"/>
        <w:jc w:val="center"/>
        <w:outlineLvl w:val="1"/>
        <w:rPr>
          <w:rFonts w:hint="eastAsia" w:ascii="仿宋" w:hAnsi="仿宋" w:eastAsia="仿宋" w:cs="仿宋"/>
          <w:b/>
          <w:bCs w:val="0"/>
          <w:color w:val="000000" w:themeColor="text1"/>
          <w:sz w:val="30"/>
          <w:szCs w:val="30"/>
          <w14:textFill>
            <w14:solidFill>
              <w14:schemeClr w14:val="tx1"/>
            </w14:solidFill>
          </w14:textFill>
        </w:rPr>
      </w:pPr>
      <w:bookmarkStart w:id="477" w:name="_Toc31365"/>
      <w:r>
        <w:rPr>
          <w:rFonts w:hint="eastAsia" w:ascii="仿宋" w:hAnsi="仿宋" w:eastAsia="仿宋" w:cs="仿宋"/>
          <w:b/>
          <w:bCs w:val="0"/>
          <w:snapToGrid/>
          <w:color w:val="000000" w:themeColor="text1"/>
          <w:kern w:val="0"/>
          <w:sz w:val="28"/>
          <w:szCs w:val="28"/>
          <w:lang w:eastAsia="zh-CN"/>
          <w14:textFill>
            <w14:solidFill>
              <w14:schemeClr w14:val="tx1"/>
            </w14:solidFill>
          </w14:textFill>
        </w:rPr>
        <w:t>九</w:t>
      </w:r>
      <w:r>
        <w:rPr>
          <w:rFonts w:hint="eastAsia" w:ascii="仿宋" w:hAnsi="仿宋" w:eastAsia="仿宋" w:cs="仿宋"/>
          <w:b/>
          <w:bCs w:val="0"/>
          <w:snapToGrid/>
          <w:color w:val="000000" w:themeColor="text1"/>
          <w:kern w:val="0"/>
          <w:sz w:val="28"/>
          <w:szCs w:val="28"/>
          <w14:textFill>
            <w14:solidFill>
              <w14:schemeClr w14:val="tx1"/>
            </w14:solidFill>
          </w14:textFill>
        </w:rPr>
        <w:t>、</w:t>
      </w:r>
      <w:r>
        <w:rPr>
          <w:rFonts w:hint="eastAsia" w:ascii="仿宋" w:hAnsi="仿宋" w:eastAsia="仿宋" w:cs="仿宋"/>
          <w:b/>
          <w:bCs w:val="0"/>
          <w:color w:val="000000" w:themeColor="text1"/>
          <w:sz w:val="30"/>
          <w:szCs w:val="30"/>
          <w14:textFill>
            <w14:solidFill>
              <w14:schemeClr w14:val="tx1"/>
            </w14:solidFill>
          </w14:textFill>
        </w:rPr>
        <w:t>技术部分</w:t>
      </w:r>
      <w:bookmarkEnd w:id="477"/>
    </w:p>
    <w:p w14:paraId="31D22FAF">
      <w:pPr>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rPr>
        <w:t>技术包括</w:t>
      </w:r>
      <w:r>
        <w:rPr>
          <w:rFonts w:hint="eastAsia" w:ascii="仿宋" w:hAnsi="仿宋" w:eastAsia="仿宋" w:cs="仿宋"/>
          <w:sz w:val="28"/>
          <w:szCs w:val="28"/>
          <w:lang w:eastAsia="zh-CN"/>
        </w:rPr>
        <w:t>但不限于</w:t>
      </w:r>
      <w:r>
        <w:rPr>
          <w:rFonts w:hint="eastAsia" w:ascii="仿宋" w:hAnsi="仿宋" w:eastAsia="仿宋" w:cs="仿宋"/>
          <w:sz w:val="28"/>
          <w:szCs w:val="28"/>
        </w:rPr>
        <w:t>以下内容：</w:t>
      </w:r>
    </w:p>
    <w:p w14:paraId="7F58D1C2">
      <w:pPr>
        <w:pStyle w:val="19"/>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1、服务方案</w:t>
      </w:r>
    </w:p>
    <w:p w14:paraId="1EE76F44">
      <w:pPr>
        <w:numPr>
          <w:ilvl w:val="0"/>
          <w:numId w:val="0"/>
        </w:numPr>
        <w:ind w:firstLine="560" w:firstLineChars="200"/>
        <w:rPr>
          <w:rFonts w:hint="eastAsia" w:ascii="仿宋" w:hAnsi="仿宋" w:eastAsia="仿宋" w:cs="仿宋"/>
          <w:color w:val="000000"/>
          <w:spacing w:val="6"/>
          <w:sz w:val="28"/>
          <w:szCs w:val="28"/>
          <w:highlight w:val="none"/>
          <w:lang w:eastAsia="zh-CN"/>
        </w:rPr>
      </w:pPr>
      <w:r>
        <w:rPr>
          <w:rFonts w:hint="eastAsia" w:ascii="仿宋" w:hAnsi="仿宋" w:eastAsia="仿宋" w:cs="仿宋"/>
          <w:sz w:val="28"/>
          <w:szCs w:val="28"/>
          <w:lang w:val="en-US" w:eastAsia="zh-CN"/>
        </w:rPr>
        <w:t>2、</w:t>
      </w:r>
      <w:r>
        <w:rPr>
          <w:rFonts w:hint="eastAsia" w:ascii="仿宋" w:hAnsi="仿宋" w:eastAsia="仿宋" w:cs="仿宋"/>
          <w:color w:val="000000"/>
          <w:spacing w:val="6"/>
          <w:sz w:val="28"/>
          <w:szCs w:val="28"/>
          <w:highlight w:val="none"/>
        </w:rPr>
        <w:t>监理大纲</w:t>
      </w:r>
      <w:r>
        <w:rPr>
          <w:rFonts w:hint="eastAsia" w:ascii="仿宋" w:hAnsi="仿宋" w:eastAsia="仿宋" w:cs="仿宋"/>
          <w:color w:val="000000"/>
          <w:spacing w:val="6"/>
          <w:sz w:val="28"/>
          <w:szCs w:val="28"/>
          <w:highlight w:val="none"/>
          <w:lang w:eastAsia="zh-CN"/>
        </w:rPr>
        <w:t>：应包含一下内容：</w:t>
      </w:r>
    </w:p>
    <w:p w14:paraId="3571ABCA">
      <w:pPr>
        <w:numPr>
          <w:ilvl w:val="0"/>
          <w:numId w:val="0"/>
        </w:numPr>
        <w:ind w:firstLine="584" w:firstLineChars="200"/>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t>（</w:t>
      </w:r>
      <w:r>
        <w:rPr>
          <w:rFonts w:hint="eastAsia" w:ascii="仿宋" w:hAnsi="仿宋" w:eastAsia="仿宋" w:cs="仿宋"/>
          <w:color w:val="000000"/>
          <w:spacing w:val="6"/>
          <w:sz w:val="28"/>
          <w:szCs w:val="28"/>
          <w:highlight w:val="none"/>
          <w:lang w:val="en-US" w:eastAsia="zh-CN"/>
        </w:rPr>
        <w:t>1</w:t>
      </w:r>
      <w:r>
        <w:rPr>
          <w:rFonts w:hint="eastAsia" w:ascii="仿宋" w:hAnsi="仿宋" w:eastAsia="仿宋" w:cs="仿宋"/>
          <w:color w:val="000000"/>
          <w:spacing w:val="6"/>
          <w:sz w:val="28"/>
          <w:szCs w:val="28"/>
          <w:highlight w:val="none"/>
          <w:lang w:eastAsia="zh-CN"/>
        </w:rPr>
        <w:t>）质量控制</w:t>
      </w:r>
    </w:p>
    <w:p w14:paraId="2CC28714">
      <w:pPr>
        <w:numPr>
          <w:ilvl w:val="0"/>
          <w:numId w:val="0"/>
        </w:numPr>
        <w:ind w:firstLine="584" w:firstLineChars="200"/>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t>（</w:t>
      </w:r>
      <w:r>
        <w:rPr>
          <w:rFonts w:hint="eastAsia" w:ascii="仿宋" w:hAnsi="仿宋" w:eastAsia="仿宋" w:cs="仿宋"/>
          <w:color w:val="000000"/>
          <w:spacing w:val="6"/>
          <w:sz w:val="28"/>
          <w:szCs w:val="28"/>
          <w:highlight w:val="none"/>
          <w:lang w:val="en-US" w:eastAsia="zh-CN"/>
        </w:rPr>
        <w:t>2</w:t>
      </w:r>
      <w:r>
        <w:rPr>
          <w:rFonts w:hint="eastAsia" w:ascii="仿宋" w:hAnsi="仿宋" w:eastAsia="仿宋" w:cs="仿宋"/>
          <w:color w:val="000000"/>
          <w:spacing w:val="6"/>
          <w:sz w:val="28"/>
          <w:szCs w:val="28"/>
          <w:highlight w:val="none"/>
          <w:lang w:eastAsia="zh-CN"/>
        </w:rPr>
        <w:t>）进度控制</w:t>
      </w:r>
    </w:p>
    <w:p w14:paraId="364DE9C2">
      <w:pPr>
        <w:numPr>
          <w:ilvl w:val="0"/>
          <w:numId w:val="0"/>
        </w:numPr>
        <w:ind w:firstLine="584" w:firstLineChars="200"/>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t>（</w:t>
      </w:r>
      <w:r>
        <w:rPr>
          <w:rFonts w:hint="eastAsia" w:ascii="仿宋" w:hAnsi="仿宋" w:eastAsia="仿宋" w:cs="仿宋"/>
          <w:color w:val="000000"/>
          <w:spacing w:val="6"/>
          <w:sz w:val="28"/>
          <w:szCs w:val="28"/>
          <w:highlight w:val="none"/>
          <w:lang w:val="en-US" w:eastAsia="zh-CN"/>
        </w:rPr>
        <w:t>3</w:t>
      </w:r>
      <w:r>
        <w:rPr>
          <w:rFonts w:hint="eastAsia" w:ascii="仿宋" w:hAnsi="仿宋" w:eastAsia="仿宋" w:cs="仿宋"/>
          <w:color w:val="000000"/>
          <w:spacing w:val="6"/>
          <w:sz w:val="28"/>
          <w:szCs w:val="28"/>
          <w:highlight w:val="none"/>
          <w:lang w:eastAsia="zh-CN"/>
        </w:rPr>
        <w:t>）投资控制</w:t>
      </w:r>
    </w:p>
    <w:p w14:paraId="3ADE6C20">
      <w:pPr>
        <w:numPr>
          <w:ilvl w:val="0"/>
          <w:numId w:val="0"/>
        </w:numPr>
        <w:ind w:firstLine="584" w:firstLineChars="200"/>
        <w:rPr>
          <w:rFonts w:hint="eastAsia" w:ascii="仿宋" w:hAnsi="仿宋" w:eastAsia="仿宋" w:cs="仿宋"/>
          <w:color w:val="000000"/>
          <w:spacing w:val="6"/>
          <w:sz w:val="28"/>
          <w:szCs w:val="28"/>
          <w:highlight w:val="none"/>
          <w:lang w:eastAsia="zh-CN"/>
        </w:rPr>
      </w:pPr>
      <w:r>
        <w:rPr>
          <w:rFonts w:hint="eastAsia" w:ascii="仿宋" w:hAnsi="仿宋" w:eastAsia="仿宋" w:cs="仿宋"/>
          <w:color w:val="000000"/>
          <w:spacing w:val="6"/>
          <w:sz w:val="28"/>
          <w:szCs w:val="28"/>
          <w:highlight w:val="none"/>
          <w:lang w:eastAsia="zh-CN"/>
        </w:rPr>
        <w:t>（</w:t>
      </w:r>
      <w:r>
        <w:rPr>
          <w:rFonts w:hint="eastAsia" w:ascii="仿宋" w:hAnsi="仿宋" w:eastAsia="仿宋" w:cs="仿宋"/>
          <w:color w:val="000000"/>
          <w:spacing w:val="6"/>
          <w:sz w:val="28"/>
          <w:szCs w:val="28"/>
          <w:highlight w:val="none"/>
          <w:lang w:val="en-US" w:eastAsia="zh-CN"/>
        </w:rPr>
        <w:t>4</w:t>
      </w:r>
      <w:r>
        <w:rPr>
          <w:rFonts w:hint="eastAsia" w:ascii="仿宋" w:hAnsi="仿宋" w:eastAsia="仿宋" w:cs="仿宋"/>
          <w:color w:val="000000"/>
          <w:spacing w:val="6"/>
          <w:sz w:val="28"/>
          <w:szCs w:val="28"/>
          <w:highlight w:val="none"/>
          <w:lang w:eastAsia="zh-CN"/>
        </w:rPr>
        <w:t>）安全生产和文明施工</w:t>
      </w:r>
    </w:p>
    <w:p w14:paraId="65D59D2C">
      <w:pPr>
        <w:spacing w:line="360" w:lineRule="auto"/>
        <w:jc w:val="both"/>
        <w:rPr>
          <w:rFonts w:hint="eastAsia" w:ascii="仿宋" w:hAnsi="仿宋" w:eastAsia="仿宋" w:cs="仿宋"/>
          <w:color w:val="000000" w:themeColor="text1"/>
          <w:szCs w:val="21"/>
          <w:lang w:val="en-US" w:eastAsia="zh-CN"/>
          <w14:textFill>
            <w14:solidFill>
              <w14:schemeClr w14:val="tx1"/>
            </w14:solidFill>
          </w14:textFill>
        </w:rPr>
      </w:pPr>
    </w:p>
    <w:p w14:paraId="4817D8EE">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27553CEB">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6BA59BD2">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77204A8A">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48572FF0">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7C6CA758">
      <w:pPr>
        <w:keepNext/>
        <w:keepLines/>
        <w:numPr>
          <w:ilvl w:val="2"/>
          <w:numId w:val="0"/>
        </w:numPr>
        <w:tabs>
          <w:tab w:val="left" w:pos="432"/>
          <w:tab w:val="left" w:pos="720"/>
        </w:tabs>
        <w:spacing w:before="240" w:after="240" w:line="360" w:lineRule="auto"/>
        <w:ind w:firstLine="850" w:firstLineChars="405"/>
        <w:jc w:val="center"/>
        <w:outlineLvl w:val="1"/>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br w:type="column"/>
      </w:r>
      <w:bookmarkStart w:id="478" w:name="_Toc26137"/>
      <w:r>
        <w:rPr>
          <w:rFonts w:hint="eastAsia" w:ascii="仿宋" w:hAnsi="仿宋" w:eastAsia="仿宋" w:cs="仿宋"/>
          <w:b/>
          <w:bCs/>
          <w:color w:val="000000" w:themeColor="text1"/>
          <w:sz w:val="30"/>
          <w:szCs w:val="30"/>
          <w:lang w:eastAsia="zh-CN"/>
          <w14:textFill>
            <w14:solidFill>
              <w14:schemeClr w14:val="tx1"/>
            </w14:solidFill>
          </w14:textFill>
        </w:rPr>
        <w:t>十</w:t>
      </w:r>
      <w:r>
        <w:rPr>
          <w:rFonts w:hint="eastAsia" w:ascii="仿宋" w:hAnsi="仿宋" w:eastAsia="仿宋" w:cs="仿宋"/>
          <w:b/>
          <w:bCs/>
          <w:color w:val="000000" w:themeColor="text1"/>
          <w:sz w:val="30"/>
          <w:szCs w:val="30"/>
          <w14:textFill>
            <w14:solidFill>
              <w14:schemeClr w14:val="tx1"/>
            </w14:solidFill>
          </w14:textFill>
        </w:rPr>
        <w:t>、商务部分</w:t>
      </w:r>
      <w:bookmarkEnd w:id="478"/>
    </w:p>
    <w:p w14:paraId="708D5500">
      <w:pPr>
        <w:pStyle w:val="4"/>
        <w:jc w:val="center"/>
        <w:rPr>
          <w:rFonts w:hint="eastAsia" w:ascii="仿宋" w:hAnsi="仿宋" w:eastAsia="仿宋" w:cs="仿宋"/>
          <w:color w:val="000000" w:themeColor="text1"/>
          <w14:textFill>
            <w14:solidFill>
              <w14:schemeClr w14:val="tx1"/>
            </w14:solidFill>
          </w14:textFill>
        </w:rPr>
      </w:pPr>
      <w:bookmarkStart w:id="479" w:name="_Toc26337"/>
      <w:r>
        <w:rPr>
          <w:rFonts w:hint="eastAsia" w:ascii="仿宋" w:hAnsi="仿宋" w:eastAsia="仿宋" w:cs="仿宋"/>
          <w:color w:val="000000" w:themeColor="text1"/>
          <w14:textFill>
            <w14:solidFill>
              <w14:schemeClr w14:val="tx1"/>
            </w14:solidFill>
          </w14:textFill>
        </w:rPr>
        <w:t>（一）</w:t>
      </w:r>
      <w:r>
        <w:rPr>
          <w:rFonts w:hint="eastAsia" w:ascii="仿宋" w:hAnsi="仿宋" w:eastAsia="仿宋" w:cs="仿宋"/>
          <w:color w:val="000000" w:themeColor="text1"/>
          <w:lang w:eastAsia="zh-CN"/>
          <w14:textFill>
            <w14:solidFill>
              <w14:schemeClr w14:val="tx1"/>
            </w14:solidFill>
          </w14:textFill>
        </w:rPr>
        <w:t>企业内部管理制度</w:t>
      </w:r>
      <w:r>
        <w:rPr>
          <w:rFonts w:hint="eastAsia" w:ascii="仿宋" w:hAnsi="仿宋" w:eastAsia="仿宋" w:cs="仿宋"/>
          <w:color w:val="000000" w:themeColor="text1"/>
          <w14:textFill>
            <w14:solidFill>
              <w14:schemeClr w14:val="tx1"/>
            </w14:solidFill>
          </w14:textFill>
        </w:rPr>
        <w:t>；</w:t>
      </w:r>
      <w:bookmarkEnd w:id="479"/>
    </w:p>
    <w:p w14:paraId="1F66EF42">
      <w:pPr>
        <w:jc w:val="center"/>
        <w:rPr>
          <w:rFonts w:hint="eastAsia" w:ascii="仿宋" w:hAnsi="仿宋" w:eastAsia="仿宋" w:cs="仿宋"/>
          <w:color w:val="000000" w:themeColor="text1"/>
          <w14:textFill>
            <w14:solidFill>
              <w14:schemeClr w14:val="tx1"/>
            </w14:solidFill>
          </w14:textFill>
        </w:rPr>
      </w:pPr>
    </w:p>
    <w:p w14:paraId="1A9A0029">
      <w:pPr>
        <w:jc w:val="center"/>
        <w:rPr>
          <w:rFonts w:hint="eastAsia" w:ascii="仿宋" w:hAnsi="仿宋" w:eastAsia="仿宋" w:cs="仿宋"/>
          <w:color w:val="000000" w:themeColor="text1"/>
          <w:sz w:val="28"/>
          <w:szCs w:val="36"/>
          <w14:textFill>
            <w14:solidFill>
              <w14:schemeClr w14:val="tx1"/>
            </w14:solidFill>
          </w14:textFill>
        </w:rPr>
        <w:sectPr>
          <w:pgSz w:w="11906" w:h="16838"/>
          <w:pgMar w:top="1440" w:right="1080" w:bottom="1440" w:left="1080" w:header="851" w:footer="992" w:gutter="0"/>
          <w:pgNumType w:fmt="decimal"/>
          <w:cols w:space="720" w:num="1"/>
          <w:docGrid w:type="lines" w:linePitch="312" w:charSpace="0"/>
        </w:sectPr>
      </w:pPr>
      <w:r>
        <w:rPr>
          <w:rFonts w:hint="eastAsia" w:ascii="仿宋" w:hAnsi="仿宋" w:eastAsia="仿宋" w:cs="仿宋"/>
          <w:color w:val="000000" w:themeColor="text1"/>
          <w:sz w:val="28"/>
          <w:szCs w:val="36"/>
          <w14:textFill>
            <w14:solidFill>
              <w14:schemeClr w14:val="tx1"/>
            </w14:solidFill>
          </w14:textFill>
        </w:rPr>
        <w:t>（格式自拟）</w:t>
      </w:r>
    </w:p>
    <w:p w14:paraId="3DC07A4A">
      <w:pPr>
        <w:jc w:val="center"/>
        <w:outlineLvl w:val="2"/>
        <w:rPr>
          <w:rFonts w:hint="eastAsia" w:ascii="仿宋" w:hAnsi="仿宋" w:eastAsia="仿宋" w:cs="仿宋"/>
          <w:color w:val="000000" w:themeColor="text1"/>
          <w:sz w:val="32"/>
          <w:szCs w:val="40"/>
          <w:lang w:eastAsia="zh-CN"/>
          <w14:textFill>
            <w14:solidFill>
              <w14:schemeClr w14:val="tx1"/>
            </w14:solidFill>
          </w14:textFill>
        </w:rPr>
      </w:pPr>
      <w:r>
        <w:rPr>
          <w:rFonts w:hint="eastAsia" w:ascii="仿宋" w:hAnsi="仿宋" w:eastAsia="仿宋" w:cs="仿宋"/>
          <w:color w:val="000000" w:themeColor="text1"/>
          <w:sz w:val="32"/>
          <w:szCs w:val="40"/>
          <w:lang w:eastAsia="zh-CN"/>
          <w14:textFill>
            <w14:solidFill>
              <w14:schemeClr w14:val="tx1"/>
            </w14:solidFill>
          </w14:textFill>
        </w:rPr>
        <w:t>（二）项目管理机构配置</w:t>
      </w:r>
    </w:p>
    <w:p w14:paraId="633F4E88">
      <w:pPr>
        <w:jc w:val="both"/>
        <w:rPr>
          <w:rFonts w:hint="eastAsia" w:ascii="仿宋" w:hAnsi="仿宋" w:eastAsia="仿宋" w:cs="仿宋"/>
          <w:color w:val="000000" w:themeColor="text1"/>
          <w:lang w:eastAsia="zh-CN"/>
          <w14:textFill>
            <w14:solidFill>
              <w14:schemeClr w14:val="tx1"/>
            </w14:solidFill>
          </w14:textFill>
        </w:rPr>
      </w:pPr>
    </w:p>
    <w:p w14:paraId="3626A3C0">
      <w:pPr>
        <w:jc w:val="center"/>
        <w:outlineLvl w:val="3"/>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 项目负责人</w:t>
      </w:r>
      <w:r>
        <w:rPr>
          <w:rFonts w:hint="eastAsia" w:ascii="仿宋" w:hAnsi="仿宋" w:eastAsia="仿宋" w:cs="仿宋"/>
          <w:b/>
          <w:bCs/>
          <w:sz w:val="28"/>
          <w:szCs w:val="28"/>
        </w:rPr>
        <w:t>简历表</w:t>
      </w:r>
    </w:p>
    <w:p w14:paraId="5EEA654A">
      <w:pPr>
        <w:spacing w:line="420" w:lineRule="exact"/>
        <w:ind w:firstLine="482" w:firstLineChars="200"/>
        <w:jc w:val="left"/>
        <w:rPr>
          <w:rFonts w:hint="eastAsia" w:ascii="仿宋" w:hAnsi="仿宋" w:eastAsia="仿宋" w:cs="仿宋"/>
          <w:b/>
          <w:bCs/>
          <w:sz w:val="24"/>
          <w:szCs w:val="24"/>
        </w:rPr>
      </w:pPr>
    </w:p>
    <w:tbl>
      <w:tblPr>
        <w:tblStyle w:val="37"/>
        <w:tblW w:w="92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473"/>
        <w:gridCol w:w="1124"/>
        <w:gridCol w:w="1229"/>
        <w:gridCol w:w="1378"/>
        <w:gridCol w:w="1005"/>
        <w:gridCol w:w="1140"/>
        <w:gridCol w:w="1275"/>
        <w:gridCol w:w="871"/>
      </w:tblGrid>
      <w:tr w14:paraId="70036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82" w:type="dxa"/>
            <w:gridSpan w:val="2"/>
            <w:tcBorders>
              <w:top w:val="single" w:color="auto" w:sz="4" w:space="0"/>
              <w:left w:val="single" w:color="auto" w:sz="4" w:space="0"/>
              <w:bottom w:val="single" w:color="auto" w:sz="4" w:space="0"/>
              <w:right w:val="single" w:color="auto" w:sz="4" w:space="0"/>
            </w:tcBorders>
            <w:noWrap w:val="0"/>
            <w:vAlign w:val="center"/>
          </w:tcPr>
          <w:p w14:paraId="6678A551">
            <w:pPr>
              <w:jc w:val="center"/>
              <w:rPr>
                <w:rFonts w:hint="eastAsia" w:ascii="仿宋" w:hAnsi="仿宋" w:eastAsia="仿宋" w:cs="仿宋"/>
                <w:sz w:val="24"/>
                <w:szCs w:val="24"/>
              </w:rPr>
            </w:pPr>
            <w:r>
              <w:rPr>
                <w:rFonts w:hint="eastAsia" w:ascii="仿宋" w:hAnsi="仿宋" w:eastAsia="仿宋" w:cs="仿宋"/>
                <w:sz w:val="24"/>
                <w:szCs w:val="24"/>
              </w:rPr>
              <w:t>姓  名</w:t>
            </w:r>
          </w:p>
        </w:tc>
        <w:tc>
          <w:tcPr>
            <w:tcW w:w="1124" w:type="dxa"/>
            <w:tcBorders>
              <w:top w:val="single" w:color="auto" w:sz="4" w:space="0"/>
              <w:left w:val="single" w:color="auto" w:sz="4" w:space="0"/>
              <w:bottom w:val="single" w:color="auto" w:sz="4" w:space="0"/>
              <w:right w:val="single" w:color="auto" w:sz="4" w:space="0"/>
            </w:tcBorders>
            <w:noWrap w:val="0"/>
            <w:vAlign w:val="center"/>
          </w:tcPr>
          <w:p w14:paraId="496C26C7">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0D250E17">
            <w:pPr>
              <w:jc w:val="center"/>
              <w:rPr>
                <w:rFonts w:hint="eastAsia" w:ascii="仿宋" w:hAnsi="仿宋" w:eastAsia="仿宋" w:cs="仿宋"/>
                <w:sz w:val="24"/>
                <w:szCs w:val="24"/>
              </w:rPr>
            </w:pPr>
            <w:r>
              <w:rPr>
                <w:rFonts w:hint="eastAsia" w:ascii="仿宋" w:hAnsi="仿宋" w:eastAsia="仿宋" w:cs="仿宋"/>
                <w:sz w:val="24"/>
                <w:szCs w:val="24"/>
              </w:rPr>
              <w:t>年  龄</w:t>
            </w:r>
          </w:p>
        </w:tc>
        <w:tc>
          <w:tcPr>
            <w:tcW w:w="1378" w:type="dxa"/>
            <w:tcBorders>
              <w:top w:val="single" w:color="auto" w:sz="4" w:space="0"/>
              <w:left w:val="single" w:color="auto" w:sz="4" w:space="0"/>
              <w:bottom w:val="single" w:color="auto" w:sz="4" w:space="0"/>
              <w:right w:val="single" w:color="auto" w:sz="4" w:space="0"/>
            </w:tcBorders>
            <w:noWrap w:val="0"/>
            <w:vAlign w:val="center"/>
          </w:tcPr>
          <w:p w14:paraId="11D65CFD">
            <w:pPr>
              <w:jc w:val="center"/>
              <w:rPr>
                <w:rFonts w:hint="eastAsia" w:ascii="仿宋" w:hAnsi="仿宋" w:eastAsia="仿宋" w:cs="仿宋"/>
                <w:sz w:val="24"/>
                <w:szCs w:val="24"/>
              </w:rPr>
            </w:pPr>
          </w:p>
        </w:tc>
        <w:tc>
          <w:tcPr>
            <w:tcW w:w="2145" w:type="dxa"/>
            <w:gridSpan w:val="2"/>
            <w:tcBorders>
              <w:top w:val="single" w:color="auto" w:sz="4" w:space="0"/>
              <w:left w:val="single" w:color="auto" w:sz="4" w:space="0"/>
              <w:bottom w:val="single" w:color="auto" w:sz="4" w:space="0"/>
              <w:right w:val="single" w:color="auto" w:sz="4" w:space="0"/>
            </w:tcBorders>
            <w:noWrap w:val="0"/>
            <w:vAlign w:val="center"/>
          </w:tcPr>
          <w:p w14:paraId="65F9F761">
            <w:pPr>
              <w:jc w:val="center"/>
              <w:rPr>
                <w:rFonts w:hint="eastAsia" w:ascii="仿宋" w:hAnsi="仿宋" w:eastAsia="仿宋" w:cs="仿宋"/>
                <w:sz w:val="24"/>
                <w:szCs w:val="24"/>
              </w:rPr>
            </w:pPr>
            <w:r>
              <w:rPr>
                <w:rFonts w:hint="eastAsia" w:ascii="仿宋" w:hAnsi="仿宋" w:eastAsia="仿宋" w:cs="仿宋"/>
                <w:sz w:val="24"/>
                <w:szCs w:val="24"/>
              </w:rPr>
              <w:t>学历</w:t>
            </w:r>
          </w:p>
        </w:tc>
        <w:tc>
          <w:tcPr>
            <w:tcW w:w="2146" w:type="dxa"/>
            <w:gridSpan w:val="2"/>
            <w:tcBorders>
              <w:top w:val="single" w:color="auto" w:sz="4" w:space="0"/>
              <w:left w:val="single" w:color="auto" w:sz="4" w:space="0"/>
              <w:bottom w:val="single" w:color="auto" w:sz="4" w:space="0"/>
              <w:right w:val="single" w:color="auto" w:sz="4" w:space="0"/>
            </w:tcBorders>
            <w:noWrap w:val="0"/>
            <w:vAlign w:val="center"/>
          </w:tcPr>
          <w:p w14:paraId="46C4559E">
            <w:pPr>
              <w:jc w:val="center"/>
              <w:rPr>
                <w:rFonts w:hint="eastAsia" w:ascii="仿宋" w:hAnsi="仿宋" w:eastAsia="仿宋" w:cs="仿宋"/>
                <w:sz w:val="24"/>
                <w:szCs w:val="24"/>
              </w:rPr>
            </w:pPr>
          </w:p>
        </w:tc>
      </w:tr>
      <w:tr w14:paraId="7D672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82" w:type="dxa"/>
            <w:gridSpan w:val="2"/>
            <w:tcBorders>
              <w:top w:val="single" w:color="auto" w:sz="4" w:space="0"/>
              <w:left w:val="single" w:color="auto" w:sz="4" w:space="0"/>
              <w:bottom w:val="single" w:color="auto" w:sz="4" w:space="0"/>
              <w:right w:val="single" w:color="auto" w:sz="4" w:space="0"/>
            </w:tcBorders>
            <w:noWrap w:val="0"/>
            <w:vAlign w:val="center"/>
          </w:tcPr>
          <w:p w14:paraId="4757D773">
            <w:pPr>
              <w:jc w:val="center"/>
              <w:rPr>
                <w:rFonts w:hint="eastAsia" w:ascii="仿宋" w:hAnsi="仿宋" w:eastAsia="仿宋" w:cs="仿宋"/>
                <w:sz w:val="24"/>
                <w:szCs w:val="24"/>
              </w:rPr>
            </w:pPr>
            <w:r>
              <w:rPr>
                <w:rFonts w:hint="eastAsia" w:ascii="仿宋" w:hAnsi="仿宋" w:eastAsia="仿宋" w:cs="仿宋"/>
                <w:sz w:val="24"/>
                <w:szCs w:val="24"/>
              </w:rPr>
              <w:t>职  称</w:t>
            </w:r>
          </w:p>
        </w:tc>
        <w:tc>
          <w:tcPr>
            <w:tcW w:w="1124" w:type="dxa"/>
            <w:tcBorders>
              <w:top w:val="single" w:color="auto" w:sz="4" w:space="0"/>
              <w:left w:val="single" w:color="auto" w:sz="4" w:space="0"/>
              <w:bottom w:val="single" w:color="auto" w:sz="4" w:space="0"/>
              <w:right w:val="single" w:color="auto" w:sz="4" w:space="0"/>
            </w:tcBorders>
            <w:noWrap w:val="0"/>
            <w:vAlign w:val="center"/>
          </w:tcPr>
          <w:p w14:paraId="4463D5BC">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4526BC01">
            <w:pPr>
              <w:jc w:val="center"/>
              <w:rPr>
                <w:rFonts w:hint="eastAsia" w:ascii="仿宋" w:hAnsi="仿宋" w:eastAsia="仿宋" w:cs="仿宋"/>
                <w:sz w:val="24"/>
                <w:szCs w:val="24"/>
              </w:rPr>
            </w:pPr>
            <w:r>
              <w:rPr>
                <w:rFonts w:hint="eastAsia" w:ascii="仿宋" w:hAnsi="仿宋" w:eastAsia="仿宋" w:cs="仿宋"/>
                <w:sz w:val="24"/>
                <w:szCs w:val="24"/>
              </w:rPr>
              <w:t>职  务</w:t>
            </w:r>
          </w:p>
        </w:tc>
        <w:tc>
          <w:tcPr>
            <w:tcW w:w="1378" w:type="dxa"/>
            <w:tcBorders>
              <w:top w:val="single" w:color="auto" w:sz="4" w:space="0"/>
              <w:left w:val="single" w:color="auto" w:sz="4" w:space="0"/>
              <w:bottom w:val="single" w:color="auto" w:sz="4" w:space="0"/>
              <w:right w:val="single" w:color="auto" w:sz="4" w:space="0"/>
            </w:tcBorders>
            <w:noWrap w:val="0"/>
            <w:vAlign w:val="center"/>
          </w:tcPr>
          <w:p w14:paraId="608099C7">
            <w:pPr>
              <w:jc w:val="center"/>
              <w:rPr>
                <w:rFonts w:hint="eastAsia" w:ascii="仿宋" w:hAnsi="仿宋" w:eastAsia="仿宋" w:cs="仿宋"/>
                <w:sz w:val="24"/>
                <w:szCs w:val="24"/>
              </w:rPr>
            </w:pPr>
          </w:p>
        </w:tc>
        <w:tc>
          <w:tcPr>
            <w:tcW w:w="2145" w:type="dxa"/>
            <w:gridSpan w:val="2"/>
            <w:tcBorders>
              <w:top w:val="single" w:color="auto" w:sz="4" w:space="0"/>
              <w:left w:val="single" w:color="auto" w:sz="4" w:space="0"/>
              <w:bottom w:val="single" w:color="auto" w:sz="4" w:space="0"/>
              <w:right w:val="single" w:color="auto" w:sz="4" w:space="0"/>
            </w:tcBorders>
            <w:noWrap w:val="0"/>
            <w:vAlign w:val="center"/>
          </w:tcPr>
          <w:p w14:paraId="79DF626B">
            <w:pPr>
              <w:jc w:val="center"/>
              <w:rPr>
                <w:rFonts w:hint="eastAsia" w:ascii="仿宋" w:hAnsi="仿宋" w:eastAsia="仿宋" w:cs="仿宋"/>
                <w:sz w:val="24"/>
                <w:szCs w:val="24"/>
              </w:rPr>
            </w:pPr>
            <w:r>
              <w:rPr>
                <w:rFonts w:hint="eastAsia" w:ascii="仿宋" w:hAnsi="仿宋" w:eastAsia="仿宋" w:cs="仿宋"/>
                <w:sz w:val="24"/>
                <w:szCs w:val="24"/>
              </w:rPr>
              <w:t>拟在本工程任职</w:t>
            </w:r>
          </w:p>
        </w:tc>
        <w:tc>
          <w:tcPr>
            <w:tcW w:w="2146" w:type="dxa"/>
            <w:gridSpan w:val="2"/>
            <w:tcBorders>
              <w:top w:val="single" w:color="auto" w:sz="4" w:space="0"/>
              <w:left w:val="single" w:color="auto" w:sz="4" w:space="0"/>
              <w:bottom w:val="single" w:color="auto" w:sz="4" w:space="0"/>
              <w:right w:val="single" w:color="auto" w:sz="4" w:space="0"/>
            </w:tcBorders>
            <w:noWrap w:val="0"/>
            <w:vAlign w:val="center"/>
          </w:tcPr>
          <w:p w14:paraId="1178F890">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 xml:space="preserve"> 项目负责人</w:t>
            </w:r>
          </w:p>
        </w:tc>
      </w:tr>
      <w:tr w14:paraId="5F8E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82" w:type="dxa"/>
            <w:gridSpan w:val="2"/>
            <w:tcBorders>
              <w:top w:val="single" w:color="auto" w:sz="4" w:space="0"/>
              <w:left w:val="single" w:color="auto" w:sz="4" w:space="0"/>
              <w:bottom w:val="single" w:color="auto" w:sz="4" w:space="0"/>
              <w:right w:val="single" w:color="auto" w:sz="4" w:space="0"/>
            </w:tcBorders>
            <w:noWrap w:val="0"/>
            <w:vAlign w:val="center"/>
          </w:tcPr>
          <w:p w14:paraId="325FCE6E">
            <w:pPr>
              <w:jc w:val="center"/>
              <w:rPr>
                <w:rFonts w:hint="eastAsia" w:ascii="仿宋" w:hAnsi="仿宋" w:eastAsia="仿宋" w:cs="仿宋"/>
                <w:sz w:val="24"/>
                <w:szCs w:val="24"/>
              </w:rPr>
            </w:pPr>
            <w:r>
              <w:rPr>
                <w:rFonts w:hint="eastAsia" w:ascii="仿宋" w:hAnsi="仿宋" w:eastAsia="仿宋" w:cs="仿宋"/>
                <w:sz w:val="24"/>
                <w:szCs w:val="24"/>
              </w:rPr>
              <w:t>毕业学校</w:t>
            </w:r>
          </w:p>
        </w:tc>
        <w:tc>
          <w:tcPr>
            <w:tcW w:w="8022" w:type="dxa"/>
            <w:gridSpan w:val="7"/>
            <w:tcBorders>
              <w:top w:val="single" w:color="auto" w:sz="4" w:space="0"/>
              <w:left w:val="single" w:color="auto" w:sz="4" w:space="0"/>
              <w:bottom w:val="single" w:color="auto" w:sz="4" w:space="0"/>
              <w:right w:val="single" w:color="auto" w:sz="4" w:space="0"/>
            </w:tcBorders>
            <w:noWrap w:val="0"/>
            <w:vAlign w:val="center"/>
          </w:tcPr>
          <w:p w14:paraId="42DE89C9">
            <w:pPr>
              <w:ind w:firstLine="960" w:firstLineChars="400"/>
              <w:rPr>
                <w:rFonts w:hint="eastAsia" w:ascii="仿宋" w:hAnsi="仿宋" w:eastAsia="仿宋" w:cs="仿宋"/>
                <w:sz w:val="24"/>
                <w:szCs w:val="24"/>
              </w:rPr>
            </w:pPr>
            <w:r>
              <w:rPr>
                <w:rFonts w:hint="eastAsia" w:ascii="仿宋" w:hAnsi="仿宋" w:eastAsia="仿宋" w:cs="仿宋"/>
                <w:sz w:val="24"/>
                <w:szCs w:val="24"/>
              </w:rPr>
              <w:t>年毕业于                  学校            专业</w:t>
            </w:r>
          </w:p>
        </w:tc>
      </w:tr>
      <w:tr w14:paraId="23A4C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9204" w:type="dxa"/>
            <w:gridSpan w:val="9"/>
            <w:tcBorders>
              <w:top w:val="single" w:color="auto" w:sz="4" w:space="0"/>
              <w:left w:val="single" w:color="auto" w:sz="4" w:space="0"/>
              <w:bottom w:val="single" w:color="auto" w:sz="4" w:space="0"/>
              <w:right w:val="single" w:color="auto" w:sz="4" w:space="0"/>
            </w:tcBorders>
            <w:noWrap w:val="0"/>
            <w:vAlign w:val="center"/>
          </w:tcPr>
          <w:p w14:paraId="5E783973">
            <w:pPr>
              <w:jc w:val="center"/>
              <w:rPr>
                <w:rFonts w:hint="eastAsia" w:ascii="仿宋" w:hAnsi="仿宋" w:eastAsia="仿宋" w:cs="仿宋"/>
                <w:sz w:val="24"/>
                <w:szCs w:val="24"/>
              </w:rPr>
            </w:pPr>
            <w:r>
              <w:rPr>
                <w:rFonts w:hint="eastAsia" w:ascii="仿宋" w:hAnsi="仿宋" w:eastAsia="仿宋" w:cs="仿宋"/>
                <w:sz w:val="24"/>
                <w:szCs w:val="24"/>
              </w:rPr>
              <w:t>主要工作经历</w:t>
            </w:r>
          </w:p>
        </w:tc>
      </w:tr>
      <w:tr w14:paraId="0C52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5D1136B6">
            <w:pPr>
              <w:jc w:val="center"/>
              <w:rPr>
                <w:rFonts w:hint="eastAsia" w:ascii="仿宋" w:hAnsi="仿宋" w:eastAsia="仿宋" w:cs="仿宋"/>
                <w:sz w:val="24"/>
                <w:szCs w:val="24"/>
              </w:rPr>
            </w:pPr>
            <w:r>
              <w:rPr>
                <w:rFonts w:hint="eastAsia" w:ascii="仿宋" w:hAnsi="仿宋" w:eastAsia="仿宋" w:cs="仿宋"/>
                <w:sz w:val="24"/>
                <w:szCs w:val="24"/>
              </w:rPr>
              <w:t>序号</w:t>
            </w: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1D4F756A">
            <w:pPr>
              <w:jc w:val="center"/>
              <w:rPr>
                <w:rFonts w:hint="eastAsia" w:ascii="仿宋" w:hAnsi="仿宋" w:eastAsia="仿宋" w:cs="仿宋"/>
                <w:sz w:val="24"/>
                <w:szCs w:val="24"/>
              </w:rPr>
            </w:pPr>
            <w:r>
              <w:rPr>
                <w:rFonts w:hint="eastAsia" w:ascii="仿宋" w:hAnsi="仿宋" w:eastAsia="仿宋" w:cs="仿宋"/>
                <w:sz w:val="24"/>
                <w:szCs w:val="24"/>
              </w:rPr>
              <w:t>参加过的类似项目名称</w:t>
            </w:r>
          </w:p>
        </w:tc>
        <w:tc>
          <w:tcPr>
            <w:tcW w:w="1229" w:type="dxa"/>
            <w:tcBorders>
              <w:top w:val="single" w:color="auto" w:sz="4" w:space="0"/>
              <w:left w:val="single" w:color="auto" w:sz="4" w:space="0"/>
              <w:bottom w:val="single" w:color="auto" w:sz="4" w:space="0"/>
              <w:right w:val="single" w:color="auto" w:sz="4" w:space="0"/>
            </w:tcBorders>
            <w:noWrap w:val="0"/>
            <w:vAlign w:val="center"/>
          </w:tcPr>
          <w:p w14:paraId="67D743D6">
            <w:pPr>
              <w:pStyle w:val="8"/>
              <w:spacing w:line="360" w:lineRule="auto"/>
              <w:ind w:left="0" w:leftChars="0" w:firstLine="0" w:firstLineChars="0"/>
              <w:jc w:val="both"/>
              <w:rPr>
                <w:rFonts w:hint="eastAsia" w:ascii="仿宋" w:hAnsi="仿宋" w:eastAsia="仿宋" w:cs="仿宋"/>
                <w:kern w:val="2"/>
                <w:sz w:val="24"/>
                <w:szCs w:val="24"/>
              </w:rPr>
            </w:pPr>
            <w:r>
              <w:rPr>
                <w:rFonts w:hint="eastAsia" w:ascii="仿宋" w:hAnsi="仿宋" w:eastAsia="仿宋" w:cs="仿宋"/>
                <w:kern w:val="2"/>
                <w:sz w:val="24"/>
                <w:szCs w:val="24"/>
              </w:rPr>
              <w:t>项目地址</w:t>
            </w:r>
          </w:p>
        </w:tc>
        <w:tc>
          <w:tcPr>
            <w:tcW w:w="1378" w:type="dxa"/>
            <w:tcBorders>
              <w:top w:val="single" w:color="auto" w:sz="4" w:space="0"/>
              <w:left w:val="single" w:color="auto" w:sz="4" w:space="0"/>
              <w:bottom w:val="single" w:color="auto" w:sz="4" w:space="0"/>
              <w:right w:val="single" w:color="auto" w:sz="4" w:space="0"/>
            </w:tcBorders>
            <w:noWrap w:val="0"/>
            <w:vAlign w:val="center"/>
          </w:tcPr>
          <w:p w14:paraId="0C338D5D">
            <w:pPr>
              <w:pStyle w:val="8"/>
              <w:spacing w:line="360" w:lineRule="auto"/>
              <w:ind w:left="0" w:leftChars="0" w:firstLine="0" w:firstLineChars="0"/>
              <w:jc w:val="both"/>
              <w:rPr>
                <w:rFonts w:hint="eastAsia" w:ascii="仿宋" w:hAnsi="仿宋" w:eastAsia="仿宋" w:cs="仿宋"/>
                <w:kern w:val="2"/>
                <w:sz w:val="24"/>
                <w:szCs w:val="24"/>
              </w:rPr>
            </w:pPr>
            <w:r>
              <w:rPr>
                <w:rFonts w:hint="eastAsia" w:ascii="仿宋" w:hAnsi="仿宋" w:eastAsia="仿宋" w:cs="仿宋"/>
                <w:kern w:val="2"/>
                <w:sz w:val="24"/>
                <w:szCs w:val="24"/>
              </w:rPr>
              <w:t>业主名称</w:t>
            </w:r>
          </w:p>
        </w:tc>
        <w:tc>
          <w:tcPr>
            <w:tcW w:w="1005" w:type="dxa"/>
            <w:tcBorders>
              <w:top w:val="single" w:color="auto" w:sz="4" w:space="0"/>
              <w:left w:val="single" w:color="auto" w:sz="4" w:space="0"/>
              <w:bottom w:val="single" w:color="auto" w:sz="4" w:space="0"/>
              <w:right w:val="single" w:color="auto" w:sz="4" w:space="0"/>
            </w:tcBorders>
            <w:noWrap w:val="0"/>
            <w:vAlign w:val="center"/>
          </w:tcPr>
          <w:p w14:paraId="62E9982E">
            <w:pPr>
              <w:pStyle w:val="8"/>
              <w:spacing w:line="360" w:lineRule="auto"/>
              <w:ind w:left="0" w:leftChars="0" w:firstLine="0" w:firstLineChars="0"/>
              <w:jc w:val="both"/>
              <w:rPr>
                <w:rFonts w:hint="eastAsia" w:ascii="仿宋" w:hAnsi="仿宋" w:eastAsia="仿宋" w:cs="仿宋"/>
                <w:kern w:val="2"/>
                <w:sz w:val="24"/>
                <w:szCs w:val="24"/>
              </w:rPr>
            </w:pPr>
            <w:r>
              <w:rPr>
                <w:rFonts w:hint="eastAsia" w:ascii="仿宋" w:hAnsi="仿宋" w:eastAsia="仿宋" w:cs="仿宋"/>
                <w:kern w:val="2"/>
                <w:sz w:val="24"/>
                <w:szCs w:val="24"/>
              </w:rPr>
              <w:t>联系人姓名及电话</w:t>
            </w: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C225475">
            <w:pPr>
              <w:pStyle w:val="8"/>
              <w:spacing w:line="360" w:lineRule="auto"/>
              <w:ind w:left="0" w:leftChars="0" w:firstLine="240" w:firstLineChars="100"/>
              <w:jc w:val="both"/>
              <w:rPr>
                <w:rFonts w:hint="eastAsia" w:ascii="仿宋" w:hAnsi="仿宋" w:eastAsia="仿宋" w:cs="仿宋"/>
                <w:kern w:val="2"/>
                <w:sz w:val="24"/>
                <w:szCs w:val="24"/>
              </w:rPr>
            </w:pPr>
            <w:r>
              <w:rPr>
                <w:rFonts w:hint="eastAsia" w:ascii="仿宋" w:hAnsi="仿宋" w:eastAsia="仿宋" w:cs="仿宋"/>
                <w:kern w:val="2"/>
                <w:sz w:val="24"/>
                <w:szCs w:val="24"/>
              </w:rPr>
              <w:t>合同</w:t>
            </w:r>
          </w:p>
          <w:p w14:paraId="4B311F39">
            <w:pPr>
              <w:pStyle w:val="8"/>
              <w:spacing w:line="360" w:lineRule="auto"/>
              <w:ind w:left="0" w:leftChars="0" w:firstLine="240" w:firstLineChars="100"/>
              <w:jc w:val="both"/>
              <w:rPr>
                <w:rFonts w:hint="eastAsia" w:ascii="仿宋" w:hAnsi="仿宋" w:eastAsia="仿宋" w:cs="仿宋"/>
                <w:kern w:val="2"/>
                <w:sz w:val="24"/>
                <w:szCs w:val="24"/>
              </w:rPr>
            </w:pPr>
            <w:r>
              <w:rPr>
                <w:rFonts w:hint="eastAsia" w:ascii="仿宋" w:hAnsi="仿宋" w:eastAsia="仿宋" w:cs="仿宋"/>
                <w:kern w:val="2"/>
                <w:sz w:val="24"/>
                <w:szCs w:val="24"/>
              </w:rPr>
              <w:t>金额</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1AEBAD5F">
            <w:pPr>
              <w:pStyle w:val="8"/>
              <w:spacing w:line="360" w:lineRule="auto"/>
              <w:ind w:left="0" w:leftChars="0" w:firstLine="0" w:firstLineChars="0"/>
              <w:jc w:val="both"/>
              <w:rPr>
                <w:rFonts w:hint="eastAsia" w:ascii="仿宋" w:hAnsi="仿宋" w:eastAsia="仿宋" w:cs="仿宋"/>
                <w:kern w:val="2"/>
                <w:sz w:val="24"/>
                <w:szCs w:val="24"/>
              </w:rPr>
            </w:pPr>
            <w:r>
              <w:rPr>
                <w:rFonts w:hint="eastAsia" w:ascii="仿宋" w:hAnsi="仿宋" w:eastAsia="仿宋" w:cs="仿宋"/>
                <w:kern w:val="2"/>
                <w:sz w:val="24"/>
                <w:szCs w:val="24"/>
              </w:rPr>
              <w:t>完成时间</w:t>
            </w:r>
          </w:p>
        </w:tc>
        <w:tc>
          <w:tcPr>
            <w:tcW w:w="871" w:type="dxa"/>
            <w:tcBorders>
              <w:top w:val="single" w:color="auto" w:sz="4" w:space="0"/>
              <w:left w:val="single" w:color="auto" w:sz="4" w:space="0"/>
              <w:bottom w:val="single" w:color="auto" w:sz="4" w:space="0"/>
              <w:right w:val="single" w:color="auto" w:sz="4" w:space="0"/>
            </w:tcBorders>
            <w:noWrap w:val="0"/>
            <w:vAlign w:val="center"/>
          </w:tcPr>
          <w:p w14:paraId="645132D0">
            <w:pPr>
              <w:jc w:val="center"/>
              <w:rPr>
                <w:rFonts w:hint="eastAsia" w:ascii="仿宋" w:hAnsi="仿宋" w:eastAsia="仿宋" w:cs="仿宋"/>
                <w:sz w:val="24"/>
                <w:szCs w:val="24"/>
              </w:rPr>
            </w:pPr>
            <w:r>
              <w:rPr>
                <w:rFonts w:hint="eastAsia" w:ascii="仿宋" w:hAnsi="仿宋" w:eastAsia="仿宋" w:cs="仿宋"/>
                <w:sz w:val="24"/>
                <w:szCs w:val="24"/>
              </w:rPr>
              <w:t>在项目中担任何种职务</w:t>
            </w:r>
          </w:p>
        </w:tc>
      </w:tr>
      <w:tr w14:paraId="38AEA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7B4B8099">
            <w:pPr>
              <w:jc w:val="center"/>
              <w:rPr>
                <w:rFonts w:hint="eastAsia" w:ascii="仿宋" w:hAnsi="仿宋" w:eastAsia="仿宋" w:cs="仿宋"/>
                <w:sz w:val="24"/>
                <w:szCs w:val="24"/>
              </w:rPr>
            </w:pP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61337CAD">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2D4FBCAF">
            <w:pPr>
              <w:jc w:val="center"/>
              <w:rPr>
                <w:rFonts w:hint="eastAsia" w:ascii="仿宋" w:hAnsi="仿宋" w:eastAsia="仿宋" w:cs="仿宋"/>
                <w:sz w:val="24"/>
                <w:szCs w:val="24"/>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14:paraId="144814E8">
            <w:pPr>
              <w:jc w:val="center"/>
              <w:rPr>
                <w:rFonts w:hint="eastAsia" w:ascii="仿宋" w:hAnsi="仿宋" w:eastAsia="仿宋" w:cs="仿宋"/>
                <w:sz w:val="24"/>
                <w:szCs w:val="24"/>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14:paraId="56963F00">
            <w:pPr>
              <w:jc w:val="center"/>
              <w:rPr>
                <w:rFonts w:hint="eastAsia" w:ascii="仿宋" w:hAnsi="仿宋" w:eastAsia="仿宋" w:cs="仿宋"/>
                <w:sz w:val="24"/>
                <w:szCs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0D4948E8">
            <w:pPr>
              <w:jc w:val="center"/>
              <w:rPr>
                <w:rFonts w:hint="eastAsia" w:ascii="仿宋" w:hAnsi="仿宋" w:eastAsia="仿宋" w:cs="仿宋"/>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7D02AD6A">
            <w:pPr>
              <w:jc w:val="center"/>
              <w:rPr>
                <w:rFonts w:hint="eastAsia" w:ascii="仿宋" w:hAnsi="仿宋" w:eastAsia="仿宋" w:cs="仿宋"/>
                <w:sz w:val="24"/>
                <w:szCs w:val="24"/>
              </w:rPr>
            </w:pPr>
          </w:p>
        </w:tc>
        <w:tc>
          <w:tcPr>
            <w:tcW w:w="871" w:type="dxa"/>
            <w:tcBorders>
              <w:top w:val="single" w:color="auto" w:sz="4" w:space="0"/>
              <w:left w:val="single" w:color="auto" w:sz="4" w:space="0"/>
              <w:bottom w:val="single" w:color="auto" w:sz="4" w:space="0"/>
              <w:right w:val="single" w:color="auto" w:sz="4" w:space="0"/>
            </w:tcBorders>
            <w:noWrap w:val="0"/>
            <w:vAlign w:val="center"/>
          </w:tcPr>
          <w:p w14:paraId="12F866DF">
            <w:pPr>
              <w:jc w:val="center"/>
              <w:rPr>
                <w:rFonts w:hint="eastAsia" w:ascii="仿宋" w:hAnsi="仿宋" w:eastAsia="仿宋" w:cs="仿宋"/>
                <w:sz w:val="24"/>
                <w:szCs w:val="24"/>
              </w:rPr>
            </w:pPr>
          </w:p>
        </w:tc>
      </w:tr>
      <w:tr w14:paraId="5718F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1E8B0325">
            <w:pPr>
              <w:jc w:val="center"/>
              <w:rPr>
                <w:rFonts w:hint="eastAsia" w:ascii="仿宋" w:hAnsi="仿宋" w:eastAsia="仿宋" w:cs="仿宋"/>
                <w:sz w:val="24"/>
                <w:szCs w:val="24"/>
              </w:rPr>
            </w:pP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15C297D1">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384B52E8">
            <w:pPr>
              <w:jc w:val="center"/>
              <w:rPr>
                <w:rFonts w:hint="eastAsia" w:ascii="仿宋" w:hAnsi="仿宋" w:eastAsia="仿宋" w:cs="仿宋"/>
                <w:sz w:val="24"/>
                <w:szCs w:val="24"/>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14:paraId="15348CD5">
            <w:pPr>
              <w:jc w:val="center"/>
              <w:rPr>
                <w:rFonts w:hint="eastAsia" w:ascii="仿宋" w:hAnsi="仿宋" w:eastAsia="仿宋" w:cs="仿宋"/>
                <w:sz w:val="24"/>
                <w:szCs w:val="24"/>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14:paraId="7E90E3D9">
            <w:pPr>
              <w:jc w:val="center"/>
              <w:rPr>
                <w:rFonts w:hint="eastAsia" w:ascii="仿宋" w:hAnsi="仿宋" w:eastAsia="仿宋" w:cs="仿宋"/>
                <w:sz w:val="24"/>
                <w:szCs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5D5C3DF4">
            <w:pPr>
              <w:jc w:val="center"/>
              <w:rPr>
                <w:rFonts w:hint="eastAsia" w:ascii="仿宋" w:hAnsi="仿宋" w:eastAsia="仿宋" w:cs="仿宋"/>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A476C4F">
            <w:pPr>
              <w:jc w:val="center"/>
              <w:rPr>
                <w:rFonts w:hint="eastAsia" w:ascii="仿宋" w:hAnsi="仿宋" w:eastAsia="仿宋" w:cs="仿宋"/>
                <w:sz w:val="24"/>
                <w:szCs w:val="24"/>
              </w:rPr>
            </w:pPr>
          </w:p>
        </w:tc>
        <w:tc>
          <w:tcPr>
            <w:tcW w:w="871" w:type="dxa"/>
            <w:tcBorders>
              <w:top w:val="single" w:color="auto" w:sz="4" w:space="0"/>
              <w:left w:val="single" w:color="auto" w:sz="4" w:space="0"/>
              <w:bottom w:val="single" w:color="auto" w:sz="4" w:space="0"/>
              <w:right w:val="single" w:color="auto" w:sz="4" w:space="0"/>
            </w:tcBorders>
            <w:noWrap w:val="0"/>
            <w:vAlign w:val="center"/>
          </w:tcPr>
          <w:p w14:paraId="3DE31B33">
            <w:pPr>
              <w:jc w:val="center"/>
              <w:rPr>
                <w:rFonts w:hint="eastAsia" w:ascii="仿宋" w:hAnsi="仿宋" w:eastAsia="仿宋" w:cs="仿宋"/>
                <w:sz w:val="24"/>
                <w:szCs w:val="24"/>
              </w:rPr>
            </w:pPr>
          </w:p>
        </w:tc>
      </w:tr>
      <w:tr w14:paraId="22A5F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0306FEC2">
            <w:pPr>
              <w:jc w:val="center"/>
              <w:rPr>
                <w:rFonts w:hint="eastAsia" w:ascii="仿宋" w:hAnsi="仿宋" w:eastAsia="仿宋" w:cs="仿宋"/>
                <w:sz w:val="24"/>
                <w:szCs w:val="24"/>
              </w:rPr>
            </w:pP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29D5E490">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456F4C16">
            <w:pPr>
              <w:jc w:val="center"/>
              <w:rPr>
                <w:rFonts w:hint="eastAsia" w:ascii="仿宋" w:hAnsi="仿宋" w:eastAsia="仿宋" w:cs="仿宋"/>
                <w:sz w:val="24"/>
                <w:szCs w:val="24"/>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14:paraId="5A86AE92">
            <w:pPr>
              <w:jc w:val="center"/>
              <w:rPr>
                <w:rFonts w:hint="eastAsia" w:ascii="仿宋" w:hAnsi="仿宋" w:eastAsia="仿宋" w:cs="仿宋"/>
                <w:sz w:val="24"/>
                <w:szCs w:val="24"/>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14:paraId="2EA59F5A">
            <w:pPr>
              <w:jc w:val="center"/>
              <w:rPr>
                <w:rFonts w:hint="eastAsia" w:ascii="仿宋" w:hAnsi="仿宋" w:eastAsia="仿宋" w:cs="仿宋"/>
                <w:sz w:val="24"/>
                <w:szCs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2787514">
            <w:pPr>
              <w:jc w:val="center"/>
              <w:rPr>
                <w:rFonts w:hint="eastAsia" w:ascii="仿宋" w:hAnsi="仿宋" w:eastAsia="仿宋" w:cs="仿宋"/>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473C33CB">
            <w:pPr>
              <w:jc w:val="center"/>
              <w:rPr>
                <w:rFonts w:hint="eastAsia" w:ascii="仿宋" w:hAnsi="仿宋" w:eastAsia="仿宋" w:cs="仿宋"/>
                <w:sz w:val="24"/>
                <w:szCs w:val="24"/>
              </w:rPr>
            </w:pPr>
          </w:p>
        </w:tc>
        <w:tc>
          <w:tcPr>
            <w:tcW w:w="871" w:type="dxa"/>
            <w:tcBorders>
              <w:top w:val="single" w:color="auto" w:sz="4" w:space="0"/>
              <w:left w:val="single" w:color="auto" w:sz="4" w:space="0"/>
              <w:bottom w:val="single" w:color="auto" w:sz="4" w:space="0"/>
              <w:right w:val="single" w:color="auto" w:sz="4" w:space="0"/>
            </w:tcBorders>
            <w:noWrap w:val="0"/>
            <w:vAlign w:val="center"/>
          </w:tcPr>
          <w:p w14:paraId="72070011">
            <w:pPr>
              <w:jc w:val="center"/>
              <w:rPr>
                <w:rFonts w:hint="eastAsia" w:ascii="仿宋" w:hAnsi="仿宋" w:eastAsia="仿宋" w:cs="仿宋"/>
                <w:sz w:val="24"/>
                <w:szCs w:val="24"/>
              </w:rPr>
            </w:pPr>
          </w:p>
        </w:tc>
      </w:tr>
      <w:tr w14:paraId="34057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3035A858">
            <w:pPr>
              <w:jc w:val="center"/>
              <w:rPr>
                <w:rFonts w:hint="eastAsia" w:ascii="仿宋" w:hAnsi="仿宋" w:eastAsia="仿宋" w:cs="仿宋"/>
                <w:sz w:val="24"/>
                <w:szCs w:val="24"/>
              </w:rPr>
            </w:pP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399CF97C">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490BF04F">
            <w:pPr>
              <w:jc w:val="center"/>
              <w:rPr>
                <w:rFonts w:hint="eastAsia" w:ascii="仿宋" w:hAnsi="仿宋" w:eastAsia="仿宋" w:cs="仿宋"/>
                <w:sz w:val="24"/>
                <w:szCs w:val="24"/>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14:paraId="3A7A8410">
            <w:pPr>
              <w:jc w:val="center"/>
              <w:rPr>
                <w:rFonts w:hint="eastAsia" w:ascii="仿宋" w:hAnsi="仿宋" w:eastAsia="仿宋" w:cs="仿宋"/>
                <w:sz w:val="24"/>
                <w:szCs w:val="24"/>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14:paraId="47D7DF25">
            <w:pPr>
              <w:jc w:val="center"/>
              <w:rPr>
                <w:rFonts w:hint="eastAsia" w:ascii="仿宋" w:hAnsi="仿宋" w:eastAsia="仿宋" w:cs="仿宋"/>
                <w:sz w:val="24"/>
                <w:szCs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344A7E14">
            <w:pPr>
              <w:jc w:val="center"/>
              <w:rPr>
                <w:rFonts w:hint="eastAsia" w:ascii="仿宋" w:hAnsi="仿宋" w:eastAsia="仿宋" w:cs="仿宋"/>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86224A7">
            <w:pPr>
              <w:jc w:val="center"/>
              <w:rPr>
                <w:rFonts w:hint="eastAsia" w:ascii="仿宋" w:hAnsi="仿宋" w:eastAsia="仿宋" w:cs="仿宋"/>
                <w:sz w:val="24"/>
                <w:szCs w:val="24"/>
              </w:rPr>
            </w:pPr>
          </w:p>
        </w:tc>
        <w:tc>
          <w:tcPr>
            <w:tcW w:w="871" w:type="dxa"/>
            <w:tcBorders>
              <w:top w:val="single" w:color="auto" w:sz="4" w:space="0"/>
              <w:left w:val="single" w:color="auto" w:sz="4" w:space="0"/>
              <w:bottom w:val="single" w:color="auto" w:sz="4" w:space="0"/>
              <w:right w:val="single" w:color="auto" w:sz="4" w:space="0"/>
            </w:tcBorders>
            <w:noWrap w:val="0"/>
            <w:vAlign w:val="center"/>
          </w:tcPr>
          <w:p w14:paraId="0C01FBC2">
            <w:pPr>
              <w:jc w:val="center"/>
              <w:rPr>
                <w:rFonts w:hint="eastAsia" w:ascii="仿宋" w:hAnsi="仿宋" w:eastAsia="仿宋" w:cs="仿宋"/>
                <w:sz w:val="24"/>
                <w:szCs w:val="24"/>
              </w:rPr>
            </w:pPr>
          </w:p>
        </w:tc>
      </w:tr>
      <w:tr w14:paraId="71C49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14:paraId="5407BD17">
            <w:pPr>
              <w:jc w:val="center"/>
              <w:rPr>
                <w:rFonts w:hint="eastAsia" w:ascii="仿宋" w:hAnsi="仿宋" w:eastAsia="仿宋" w:cs="仿宋"/>
                <w:sz w:val="24"/>
                <w:szCs w:val="24"/>
              </w:rPr>
            </w:pPr>
          </w:p>
        </w:tc>
        <w:tc>
          <w:tcPr>
            <w:tcW w:w="1597" w:type="dxa"/>
            <w:gridSpan w:val="2"/>
            <w:tcBorders>
              <w:top w:val="single" w:color="auto" w:sz="4" w:space="0"/>
              <w:left w:val="single" w:color="auto" w:sz="4" w:space="0"/>
              <w:bottom w:val="single" w:color="auto" w:sz="4" w:space="0"/>
              <w:right w:val="single" w:color="auto" w:sz="4" w:space="0"/>
            </w:tcBorders>
            <w:noWrap w:val="0"/>
            <w:vAlign w:val="center"/>
          </w:tcPr>
          <w:p w14:paraId="57831DFA">
            <w:pPr>
              <w:jc w:val="center"/>
              <w:rPr>
                <w:rFonts w:hint="eastAsia" w:ascii="仿宋" w:hAnsi="仿宋" w:eastAsia="仿宋" w:cs="仿宋"/>
                <w:sz w:val="24"/>
                <w:szCs w:val="24"/>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14:paraId="6CDDA577">
            <w:pPr>
              <w:jc w:val="center"/>
              <w:rPr>
                <w:rFonts w:hint="eastAsia" w:ascii="仿宋" w:hAnsi="仿宋" w:eastAsia="仿宋" w:cs="仿宋"/>
                <w:sz w:val="24"/>
                <w:szCs w:val="24"/>
              </w:rPr>
            </w:pPr>
          </w:p>
        </w:tc>
        <w:tc>
          <w:tcPr>
            <w:tcW w:w="1378" w:type="dxa"/>
            <w:tcBorders>
              <w:top w:val="single" w:color="auto" w:sz="4" w:space="0"/>
              <w:left w:val="single" w:color="auto" w:sz="4" w:space="0"/>
              <w:bottom w:val="single" w:color="auto" w:sz="4" w:space="0"/>
              <w:right w:val="single" w:color="auto" w:sz="4" w:space="0"/>
            </w:tcBorders>
            <w:noWrap w:val="0"/>
            <w:vAlign w:val="center"/>
          </w:tcPr>
          <w:p w14:paraId="474FEADE">
            <w:pPr>
              <w:jc w:val="center"/>
              <w:rPr>
                <w:rFonts w:hint="eastAsia" w:ascii="仿宋" w:hAnsi="仿宋" w:eastAsia="仿宋" w:cs="仿宋"/>
                <w:sz w:val="24"/>
                <w:szCs w:val="24"/>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14:paraId="5B8720F1">
            <w:pPr>
              <w:jc w:val="center"/>
              <w:rPr>
                <w:rFonts w:hint="eastAsia" w:ascii="仿宋" w:hAnsi="仿宋" w:eastAsia="仿宋" w:cs="仿宋"/>
                <w:sz w:val="24"/>
                <w:szCs w:val="24"/>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14:paraId="7373D0E1">
            <w:pPr>
              <w:jc w:val="center"/>
              <w:rPr>
                <w:rFonts w:hint="eastAsia" w:ascii="仿宋" w:hAnsi="仿宋" w:eastAsia="仿宋" w:cs="仿宋"/>
                <w:sz w:val="24"/>
                <w:szCs w:val="24"/>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14:paraId="26F0F700">
            <w:pPr>
              <w:jc w:val="center"/>
              <w:rPr>
                <w:rFonts w:hint="eastAsia" w:ascii="仿宋" w:hAnsi="仿宋" w:eastAsia="仿宋" w:cs="仿宋"/>
                <w:sz w:val="24"/>
                <w:szCs w:val="24"/>
              </w:rPr>
            </w:pPr>
          </w:p>
        </w:tc>
        <w:tc>
          <w:tcPr>
            <w:tcW w:w="871" w:type="dxa"/>
            <w:tcBorders>
              <w:top w:val="single" w:color="auto" w:sz="4" w:space="0"/>
              <w:left w:val="single" w:color="auto" w:sz="4" w:space="0"/>
              <w:bottom w:val="single" w:color="auto" w:sz="4" w:space="0"/>
              <w:right w:val="single" w:color="auto" w:sz="4" w:space="0"/>
            </w:tcBorders>
            <w:noWrap w:val="0"/>
            <w:vAlign w:val="center"/>
          </w:tcPr>
          <w:p w14:paraId="458BC7BC">
            <w:pPr>
              <w:jc w:val="center"/>
              <w:rPr>
                <w:rFonts w:hint="eastAsia" w:ascii="仿宋" w:hAnsi="仿宋" w:eastAsia="仿宋" w:cs="仿宋"/>
                <w:sz w:val="24"/>
                <w:szCs w:val="24"/>
              </w:rPr>
            </w:pPr>
          </w:p>
        </w:tc>
      </w:tr>
    </w:tbl>
    <w:p w14:paraId="4631E04D">
      <w:pPr>
        <w:autoSpaceDE w:val="0"/>
        <w:autoSpaceDN w:val="0"/>
        <w:adjustRightInd w:val="0"/>
        <w:spacing w:line="200" w:lineRule="exact"/>
        <w:jc w:val="left"/>
        <w:rPr>
          <w:rFonts w:hint="eastAsia" w:ascii="仿宋" w:hAnsi="仿宋" w:eastAsia="仿宋" w:cs="仿宋"/>
          <w:kern w:val="0"/>
          <w:sz w:val="24"/>
          <w:szCs w:val="24"/>
        </w:rPr>
      </w:pPr>
    </w:p>
    <w:p w14:paraId="2A2BA9AA">
      <w:pPr>
        <w:widowControl/>
        <w:jc w:val="left"/>
        <w:rPr>
          <w:rFonts w:hint="eastAsia" w:ascii="仿宋" w:hAnsi="仿宋" w:eastAsia="仿宋" w:cs="仿宋"/>
          <w:sz w:val="24"/>
          <w:szCs w:val="24"/>
        </w:rPr>
      </w:pPr>
      <w:r>
        <w:rPr>
          <w:rFonts w:hint="eastAsia" w:ascii="仿宋" w:hAnsi="仿宋" w:eastAsia="仿宋" w:cs="仿宋"/>
          <w:b/>
          <w:bCs/>
          <w:sz w:val="24"/>
          <w:szCs w:val="24"/>
          <w:lang w:eastAsia="zh-CN"/>
        </w:rPr>
        <w:t>注： 项目负责人</w:t>
      </w:r>
      <w:r>
        <w:rPr>
          <w:rFonts w:hint="eastAsia" w:ascii="仿宋" w:hAnsi="仿宋" w:eastAsia="仿宋" w:cs="仿宋"/>
          <w:b/>
          <w:bCs/>
          <w:sz w:val="24"/>
          <w:szCs w:val="24"/>
        </w:rPr>
        <w:t>应附身份证、</w:t>
      </w:r>
      <w:r>
        <w:rPr>
          <w:rFonts w:hint="eastAsia" w:ascii="仿宋" w:hAnsi="仿宋" w:eastAsia="仿宋" w:cs="仿宋"/>
          <w:b/>
          <w:bCs/>
          <w:sz w:val="24"/>
          <w:szCs w:val="24"/>
          <w:lang w:eastAsia="zh-CN"/>
        </w:rPr>
        <w:t>注册证书、</w:t>
      </w:r>
      <w:r>
        <w:rPr>
          <w:rFonts w:hint="eastAsia" w:ascii="仿宋" w:hAnsi="仿宋" w:eastAsia="仿宋" w:cs="仿宋"/>
          <w:b/>
          <w:bCs/>
          <w:sz w:val="24"/>
          <w:szCs w:val="24"/>
        </w:rPr>
        <w:t>职称证</w:t>
      </w:r>
      <w:r>
        <w:rPr>
          <w:rFonts w:hint="eastAsia" w:ascii="仿宋" w:hAnsi="仿宋" w:eastAsia="仿宋" w:cs="仿宋"/>
          <w:b/>
          <w:bCs/>
          <w:sz w:val="24"/>
          <w:szCs w:val="24"/>
          <w:lang w:eastAsia="zh-CN"/>
        </w:rPr>
        <w:t>、</w:t>
      </w:r>
      <w:r>
        <w:rPr>
          <w:rFonts w:hint="eastAsia" w:ascii="仿宋" w:hAnsi="仿宋" w:eastAsia="仿宋" w:cs="仿宋"/>
          <w:b/>
          <w:bCs/>
          <w:sz w:val="24"/>
          <w:szCs w:val="24"/>
        </w:rPr>
        <w:t>、学历证</w:t>
      </w:r>
      <w:r>
        <w:rPr>
          <w:rFonts w:hint="eastAsia" w:ascii="仿宋" w:hAnsi="仿宋" w:eastAsia="仿宋" w:cs="仿宋"/>
          <w:b/>
          <w:bCs/>
          <w:sz w:val="24"/>
          <w:szCs w:val="24"/>
          <w:lang w:val="zh-CN"/>
        </w:rPr>
        <w:t>及其他相关证件、证明材料的复印件。</w:t>
      </w:r>
      <w:r>
        <w:rPr>
          <w:rFonts w:hint="eastAsia" w:ascii="仿宋" w:hAnsi="仿宋" w:eastAsia="仿宋" w:cs="仿宋"/>
          <w:kern w:val="0"/>
          <w:sz w:val="24"/>
          <w:szCs w:val="24"/>
        </w:rPr>
        <w:br w:type="page"/>
      </w:r>
    </w:p>
    <w:p w14:paraId="1F832496">
      <w:pPr>
        <w:pStyle w:val="4"/>
        <w:jc w:val="center"/>
        <w:outlineLvl w:val="3"/>
        <w:rPr>
          <w:rFonts w:hint="eastAsia" w:ascii="仿宋" w:hAnsi="仿宋" w:eastAsia="仿宋" w:cs="仿宋"/>
          <w:b/>
          <w:bCs w:val="0"/>
          <w:color w:val="000000" w:themeColor="text1"/>
          <w:sz w:val="28"/>
          <w:szCs w:val="18"/>
          <w14:textFill>
            <w14:solidFill>
              <w14:schemeClr w14:val="tx1"/>
            </w14:solidFill>
          </w14:textFill>
        </w:rPr>
      </w:pPr>
      <w:bookmarkStart w:id="480" w:name="_Toc6062"/>
      <w:r>
        <w:rPr>
          <w:rFonts w:hint="eastAsia" w:ascii="仿宋" w:hAnsi="仿宋" w:eastAsia="仿宋" w:cs="仿宋"/>
          <w:b/>
          <w:bCs w:val="0"/>
          <w:color w:val="000000" w:themeColor="text1"/>
          <w:sz w:val="28"/>
          <w:szCs w:val="18"/>
          <w14:textFill>
            <w14:solidFill>
              <w14:schemeClr w14:val="tx1"/>
            </w14:solidFill>
          </w14:textFill>
        </w:rPr>
        <w:t>（</w:t>
      </w:r>
      <w:r>
        <w:rPr>
          <w:rFonts w:hint="eastAsia" w:ascii="仿宋" w:hAnsi="仿宋" w:eastAsia="仿宋" w:cs="仿宋"/>
          <w:b/>
          <w:bCs w:val="0"/>
          <w:color w:val="000000" w:themeColor="text1"/>
          <w:sz w:val="28"/>
          <w:szCs w:val="18"/>
          <w:lang w:val="en-US" w:eastAsia="zh-CN"/>
          <w14:textFill>
            <w14:solidFill>
              <w14:schemeClr w14:val="tx1"/>
            </w14:solidFill>
          </w14:textFill>
        </w:rPr>
        <w:t>2</w:t>
      </w:r>
      <w:r>
        <w:rPr>
          <w:rFonts w:hint="eastAsia" w:ascii="仿宋" w:hAnsi="仿宋" w:eastAsia="仿宋" w:cs="仿宋"/>
          <w:b/>
          <w:bCs w:val="0"/>
          <w:color w:val="000000" w:themeColor="text1"/>
          <w:sz w:val="28"/>
          <w:szCs w:val="18"/>
          <w14:textFill>
            <w14:solidFill>
              <w14:schemeClr w14:val="tx1"/>
            </w14:solidFill>
          </w14:textFill>
        </w:rPr>
        <w:t>）拟</w:t>
      </w:r>
      <w:r>
        <w:rPr>
          <w:rFonts w:hint="eastAsia" w:ascii="仿宋" w:hAnsi="仿宋" w:eastAsia="仿宋" w:cs="仿宋"/>
          <w:b/>
          <w:bCs w:val="0"/>
          <w:color w:val="000000" w:themeColor="text1"/>
          <w:sz w:val="28"/>
          <w:szCs w:val="18"/>
          <w:lang w:eastAsia="zh-CN"/>
          <w14:textFill>
            <w14:solidFill>
              <w14:schemeClr w14:val="tx1"/>
            </w14:solidFill>
          </w14:textFill>
        </w:rPr>
        <w:t>投入</w:t>
      </w:r>
      <w:r>
        <w:rPr>
          <w:rFonts w:hint="eastAsia" w:ascii="仿宋" w:hAnsi="仿宋" w:eastAsia="仿宋" w:cs="仿宋"/>
          <w:b/>
          <w:bCs w:val="0"/>
          <w:color w:val="000000" w:themeColor="text1"/>
          <w:sz w:val="28"/>
          <w:szCs w:val="18"/>
          <w14:textFill>
            <w14:solidFill>
              <w14:schemeClr w14:val="tx1"/>
            </w14:solidFill>
          </w14:textFill>
        </w:rPr>
        <w:t>本项目</w:t>
      </w:r>
      <w:r>
        <w:rPr>
          <w:rFonts w:hint="eastAsia" w:ascii="仿宋" w:hAnsi="仿宋" w:eastAsia="仿宋" w:cs="仿宋"/>
          <w:b/>
          <w:bCs w:val="0"/>
          <w:color w:val="000000" w:themeColor="text1"/>
          <w:sz w:val="28"/>
          <w:szCs w:val="18"/>
          <w:lang w:eastAsia="zh-CN"/>
          <w14:textFill>
            <w14:solidFill>
              <w14:schemeClr w14:val="tx1"/>
            </w14:solidFill>
          </w14:textFill>
        </w:rPr>
        <w:t>主要</w:t>
      </w:r>
      <w:r>
        <w:rPr>
          <w:rFonts w:hint="eastAsia" w:ascii="仿宋" w:hAnsi="仿宋" w:eastAsia="仿宋" w:cs="仿宋"/>
          <w:b/>
          <w:bCs w:val="0"/>
          <w:color w:val="000000" w:themeColor="text1"/>
          <w:sz w:val="28"/>
          <w:szCs w:val="18"/>
          <w14:textFill>
            <w14:solidFill>
              <w14:schemeClr w14:val="tx1"/>
            </w14:solidFill>
          </w14:textFill>
        </w:rPr>
        <w:t>人员配置情况表</w:t>
      </w:r>
      <w:bookmarkEnd w:id="480"/>
    </w:p>
    <w:tbl>
      <w:tblPr>
        <w:tblStyle w:val="37"/>
        <w:tblW w:w="9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539"/>
        <w:gridCol w:w="857"/>
        <w:gridCol w:w="928"/>
        <w:gridCol w:w="1144"/>
        <w:gridCol w:w="1022"/>
        <w:gridCol w:w="1250"/>
        <w:gridCol w:w="1538"/>
        <w:gridCol w:w="783"/>
      </w:tblGrid>
      <w:tr w14:paraId="097D0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810" w:type="dxa"/>
            <w:vAlign w:val="center"/>
          </w:tcPr>
          <w:p w14:paraId="476F3667">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序号</w:t>
            </w:r>
          </w:p>
        </w:tc>
        <w:tc>
          <w:tcPr>
            <w:tcW w:w="1539" w:type="dxa"/>
            <w:vAlign w:val="center"/>
          </w:tcPr>
          <w:p w14:paraId="4CB1285A">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姓名</w:t>
            </w:r>
          </w:p>
        </w:tc>
        <w:tc>
          <w:tcPr>
            <w:tcW w:w="857" w:type="dxa"/>
            <w:vAlign w:val="center"/>
          </w:tcPr>
          <w:p w14:paraId="3C41AAFD">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性别</w:t>
            </w:r>
          </w:p>
        </w:tc>
        <w:tc>
          <w:tcPr>
            <w:tcW w:w="928" w:type="dxa"/>
            <w:vAlign w:val="center"/>
          </w:tcPr>
          <w:p w14:paraId="385F1EFE">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年龄</w:t>
            </w:r>
          </w:p>
        </w:tc>
        <w:tc>
          <w:tcPr>
            <w:tcW w:w="1144" w:type="dxa"/>
            <w:vAlign w:val="center"/>
          </w:tcPr>
          <w:p w14:paraId="5F29ECC0">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技术</w:t>
            </w:r>
          </w:p>
          <w:p w14:paraId="4D6172EB">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职称</w:t>
            </w:r>
          </w:p>
        </w:tc>
        <w:tc>
          <w:tcPr>
            <w:tcW w:w="1022" w:type="dxa"/>
            <w:vAlign w:val="center"/>
          </w:tcPr>
          <w:p w14:paraId="75ACA6EC">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执业</w:t>
            </w:r>
          </w:p>
          <w:p w14:paraId="241A3CC3">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资格</w:t>
            </w:r>
          </w:p>
        </w:tc>
        <w:tc>
          <w:tcPr>
            <w:tcW w:w="1250" w:type="dxa"/>
            <w:vAlign w:val="center"/>
          </w:tcPr>
          <w:p w14:paraId="7855EF1E">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从事专业</w:t>
            </w:r>
          </w:p>
          <w:p w14:paraId="7278B078">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年限</w:t>
            </w:r>
          </w:p>
        </w:tc>
        <w:tc>
          <w:tcPr>
            <w:tcW w:w="1538" w:type="dxa"/>
            <w:vAlign w:val="center"/>
          </w:tcPr>
          <w:p w14:paraId="5E658499">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拟任</w:t>
            </w:r>
          </w:p>
          <w:p w14:paraId="3B0CAF42">
            <w:pPr>
              <w:spacing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职务</w:t>
            </w:r>
          </w:p>
        </w:tc>
        <w:tc>
          <w:tcPr>
            <w:tcW w:w="783" w:type="dxa"/>
            <w:vAlign w:val="center"/>
          </w:tcPr>
          <w:p w14:paraId="07287A5D">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备注</w:t>
            </w:r>
          </w:p>
        </w:tc>
      </w:tr>
      <w:tr w14:paraId="6CDDD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0DD8CBDD">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1539" w:type="dxa"/>
            <w:vAlign w:val="center"/>
          </w:tcPr>
          <w:p w14:paraId="1FEFD49F">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2100103D">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65F712AE">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0C16C79F">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66D73809">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2BA417F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49493652">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212F6CE1">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67BF7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16BC2D19">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539" w:type="dxa"/>
            <w:vAlign w:val="center"/>
          </w:tcPr>
          <w:p w14:paraId="3FB1496B">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25B4A72C">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4C8CF478">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2C60C34C">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35FEE2E0">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24AC7FC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2361A3E7">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5C349F43">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21E31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7CF87E42">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1539" w:type="dxa"/>
            <w:vAlign w:val="center"/>
          </w:tcPr>
          <w:p w14:paraId="64CDA828">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00C33196">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7DB5EE8F">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5DCF602D">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747C7775">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267B4CA1">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57948BD6">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538E8675">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65F27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1D76F45A">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1539" w:type="dxa"/>
            <w:vAlign w:val="center"/>
          </w:tcPr>
          <w:p w14:paraId="3181DEA4">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43569C1E">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02F5DE21">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4E22B13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4256327D">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3734731B">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15E8DFA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4BC3B06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42BA9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56D39364">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1539" w:type="dxa"/>
            <w:vAlign w:val="center"/>
          </w:tcPr>
          <w:p w14:paraId="2DAB7D08">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785D919B">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0C63B4A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2514A9EF">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53A52E5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02B11A6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7E999ED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5B1989F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4179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623A97B6">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w:t>
            </w:r>
          </w:p>
        </w:tc>
        <w:tc>
          <w:tcPr>
            <w:tcW w:w="1539" w:type="dxa"/>
            <w:vAlign w:val="center"/>
          </w:tcPr>
          <w:p w14:paraId="0D9D03C8">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0D2A63E7">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74026329">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7DDB4EC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6238B7FA">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7FED8CC3">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47E723AC">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2091601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72241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10992A6F">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7</w:t>
            </w:r>
          </w:p>
        </w:tc>
        <w:tc>
          <w:tcPr>
            <w:tcW w:w="1539" w:type="dxa"/>
            <w:vAlign w:val="center"/>
          </w:tcPr>
          <w:p w14:paraId="058A51D4">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442B4D46">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3661CB5F">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60A107F5">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302639E6">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5441B1F7">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2CE85E87">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62B6B0B3">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5D99E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2926E62D">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w:t>
            </w:r>
          </w:p>
        </w:tc>
        <w:tc>
          <w:tcPr>
            <w:tcW w:w="1539" w:type="dxa"/>
            <w:vAlign w:val="center"/>
          </w:tcPr>
          <w:p w14:paraId="1E1C3FB9">
            <w:pPr>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7" w:type="dxa"/>
            <w:vAlign w:val="center"/>
          </w:tcPr>
          <w:p w14:paraId="3B0F7A8D">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928" w:type="dxa"/>
            <w:vAlign w:val="center"/>
          </w:tcPr>
          <w:p w14:paraId="1D51A8CB">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144" w:type="dxa"/>
            <w:vAlign w:val="center"/>
          </w:tcPr>
          <w:p w14:paraId="12B9F192">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022" w:type="dxa"/>
            <w:vAlign w:val="center"/>
          </w:tcPr>
          <w:p w14:paraId="57B7A6C4">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250" w:type="dxa"/>
            <w:vAlign w:val="center"/>
          </w:tcPr>
          <w:p w14:paraId="6DBAF575">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1538" w:type="dxa"/>
            <w:vAlign w:val="center"/>
          </w:tcPr>
          <w:p w14:paraId="2B757D70">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c>
          <w:tcPr>
            <w:tcW w:w="783" w:type="dxa"/>
            <w:vAlign w:val="center"/>
          </w:tcPr>
          <w:p w14:paraId="7EA83971">
            <w:pPr>
              <w:spacing w:line="360" w:lineRule="auto"/>
              <w:ind w:firstLine="472" w:firstLineChars="225"/>
              <w:jc w:val="center"/>
              <w:rPr>
                <w:rFonts w:hint="eastAsia" w:ascii="仿宋" w:hAnsi="仿宋" w:eastAsia="仿宋" w:cs="仿宋"/>
                <w:color w:val="000000" w:themeColor="text1"/>
                <w:szCs w:val="21"/>
                <w14:textFill>
                  <w14:solidFill>
                    <w14:schemeClr w14:val="tx1"/>
                  </w14:solidFill>
                </w14:textFill>
              </w:rPr>
            </w:pPr>
          </w:p>
        </w:tc>
      </w:tr>
      <w:tr w14:paraId="7CCD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810" w:type="dxa"/>
            <w:vAlign w:val="center"/>
          </w:tcPr>
          <w:p w14:paraId="4C31761D">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539" w:type="dxa"/>
            <w:vAlign w:val="center"/>
          </w:tcPr>
          <w:p w14:paraId="2A6172D0">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857" w:type="dxa"/>
            <w:vAlign w:val="center"/>
          </w:tcPr>
          <w:p w14:paraId="1E2665F7">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928" w:type="dxa"/>
            <w:vAlign w:val="center"/>
          </w:tcPr>
          <w:p w14:paraId="689DC8B2">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144" w:type="dxa"/>
            <w:vAlign w:val="center"/>
          </w:tcPr>
          <w:p w14:paraId="4E2AD3D0">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022" w:type="dxa"/>
            <w:vAlign w:val="center"/>
          </w:tcPr>
          <w:p w14:paraId="5FEA254A">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50" w:type="dxa"/>
            <w:vAlign w:val="center"/>
          </w:tcPr>
          <w:p w14:paraId="76BA2012">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538" w:type="dxa"/>
            <w:vAlign w:val="center"/>
          </w:tcPr>
          <w:p w14:paraId="08E616E2">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783" w:type="dxa"/>
            <w:vAlign w:val="center"/>
          </w:tcPr>
          <w:p w14:paraId="0CABE066">
            <w:pPr>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r>
    </w:tbl>
    <w:p w14:paraId="699100EF">
      <w:pPr>
        <w:spacing w:line="360" w:lineRule="auto"/>
        <w:ind w:right="-90" w:rightChars="-43" w:firstLine="420" w:firstLineChars="200"/>
        <w:rPr>
          <w:rFonts w:hint="eastAsia"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注：本表可扩展；本表后附拟派本项目人员身份证、职称证、上岗证（若有）、注册证书（若有）、执（职）业资格证书（若有）、荣誉证书（若有）及其他相关证件、证明材料的复印件。</w:t>
      </w:r>
    </w:p>
    <w:p w14:paraId="1A6B0BDD">
      <w:pPr>
        <w:spacing w:line="360" w:lineRule="auto"/>
        <w:ind w:firstLine="210" w:firstLineChars="100"/>
        <w:jc w:val="center"/>
        <w:rPr>
          <w:rFonts w:hint="eastAsia" w:ascii="仿宋" w:hAnsi="仿宋" w:eastAsia="仿宋" w:cs="仿宋"/>
          <w:color w:val="000000" w:themeColor="text1"/>
          <w:szCs w:val="21"/>
          <w14:textFill>
            <w14:solidFill>
              <w14:schemeClr w14:val="tx1"/>
            </w14:solidFill>
          </w14:textFill>
        </w:rPr>
      </w:pPr>
    </w:p>
    <w:p w14:paraId="6B73BF9D">
      <w:pPr>
        <w:pStyle w:val="8"/>
        <w:spacing w:line="480" w:lineRule="auto"/>
        <w:ind w:firstLine="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14:textFill>
            <w14:solidFill>
              <w14:schemeClr w14:val="tx1"/>
            </w14:solidFill>
          </w14:textFill>
        </w:rPr>
        <w:t>供应商</w:t>
      </w:r>
      <w:r>
        <w:rPr>
          <w:rFonts w:hint="eastAsia" w:ascii="仿宋" w:hAnsi="仿宋" w:eastAsia="仿宋" w:cs="仿宋"/>
          <w:color w:val="000000" w:themeColor="text1"/>
          <w:szCs w:val="21"/>
          <w14:textFill>
            <w14:solidFill>
              <w14:schemeClr w14:val="tx1"/>
            </w14:solidFill>
          </w14:textFill>
        </w:rPr>
        <w:t>（盖单位章）：</w:t>
      </w:r>
      <w:r>
        <w:rPr>
          <w:rFonts w:hint="eastAsia" w:ascii="仿宋" w:hAnsi="仿宋" w:eastAsia="仿宋" w:cs="仿宋"/>
          <w:color w:val="000000" w:themeColor="text1"/>
          <w:szCs w:val="21"/>
          <w:u w:val="single"/>
          <w14:textFill>
            <w14:solidFill>
              <w14:schemeClr w14:val="tx1"/>
            </w14:solidFill>
          </w14:textFill>
        </w:rPr>
        <w:t xml:space="preserve">                </w:t>
      </w:r>
    </w:p>
    <w:p w14:paraId="3CF925F4">
      <w:pPr>
        <w:pStyle w:val="8"/>
        <w:spacing w:line="480" w:lineRule="auto"/>
        <w:ind w:firstLine="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法定代表人或其委托代理人（签字或盖章）：</w:t>
      </w:r>
      <w:r>
        <w:rPr>
          <w:rFonts w:hint="eastAsia" w:ascii="仿宋" w:hAnsi="仿宋" w:eastAsia="仿宋" w:cs="仿宋"/>
          <w:color w:val="000000" w:themeColor="text1"/>
          <w:szCs w:val="21"/>
          <w:u w:val="single"/>
          <w14:textFill>
            <w14:solidFill>
              <w14:schemeClr w14:val="tx1"/>
            </w14:solidFill>
          </w14:textFill>
        </w:rPr>
        <w:t>___________</w:t>
      </w:r>
    </w:p>
    <w:p w14:paraId="6D9A1181">
      <w:pPr>
        <w:pStyle w:val="8"/>
        <w:spacing w:line="480" w:lineRule="auto"/>
        <w:ind w:firstLine="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日      期：</w:t>
      </w:r>
      <w:r>
        <w:rPr>
          <w:rFonts w:hint="eastAsia" w:ascii="仿宋" w:hAnsi="仿宋" w:eastAsia="仿宋" w:cs="仿宋"/>
          <w:color w:val="000000" w:themeColor="text1"/>
          <w:szCs w:val="21"/>
          <w:u w:val="single"/>
          <w14:textFill>
            <w14:solidFill>
              <w14:schemeClr w14:val="tx1"/>
            </w14:solidFill>
          </w14:textFill>
        </w:rPr>
        <w:t xml:space="preserve">     </w:t>
      </w:r>
      <w:r>
        <w:rPr>
          <w:rFonts w:hint="eastAsia" w:ascii="仿宋" w:hAnsi="仿宋" w:eastAsia="仿宋" w:cs="仿宋"/>
          <w:color w:val="000000" w:themeColor="text1"/>
          <w:szCs w:val="21"/>
          <w14:textFill>
            <w14:solidFill>
              <w14:schemeClr w14:val="tx1"/>
            </w14:solidFill>
          </w14:textFill>
        </w:rPr>
        <w:t>年</w:t>
      </w:r>
      <w:r>
        <w:rPr>
          <w:rFonts w:hint="eastAsia" w:ascii="仿宋" w:hAnsi="仿宋" w:eastAsia="仿宋" w:cs="仿宋"/>
          <w:color w:val="000000" w:themeColor="text1"/>
          <w:szCs w:val="21"/>
          <w:u w:val="single"/>
          <w14:textFill>
            <w14:solidFill>
              <w14:schemeClr w14:val="tx1"/>
            </w14:solidFill>
          </w14:textFill>
        </w:rPr>
        <w:t xml:space="preserve">     </w:t>
      </w:r>
      <w:r>
        <w:rPr>
          <w:rFonts w:hint="eastAsia" w:ascii="仿宋" w:hAnsi="仿宋" w:eastAsia="仿宋" w:cs="仿宋"/>
          <w:color w:val="000000" w:themeColor="text1"/>
          <w:szCs w:val="21"/>
          <w14:textFill>
            <w14:solidFill>
              <w14:schemeClr w14:val="tx1"/>
            </w14:solidFill>
          </w14:textFill>
        </w:rPr>
        <w:t>月</w:t>
      </w:r>
      <w:r>
        <w:rPr>
          <w:rFonts w:hint="eastAsia" w:ascii="仿宋" w:hAnsi="仿宋" w:eastAsia="仿宋" w:cs="仿宋"/>
          <w:color w:val="000000" w:themeColor="text1"/>
          <w:szCs w:val="21"/>
          <w:u w:val="single"/>
          <w14:textFill>
            <w14:solidFill>
              <w14:schemeClr w14:val="tx1"/>
            </w14:solidFill>
          </w14:textFill>
        </w:rPr>
        <w:t xml:space="preserve">     </w:t>
      </w:r>
      <w:r>
        <w:rPr>
          <w:rFonts w:hint="eastAsia" w:ascii="仿宋" w:hAnsi="仿宋" w:eastAsia="仿宋" w:cs="仿宋"/>
          <w:color w:val="000000" w:themeColor="text1"/>
          <w:szCs w:val="21"/>
          <w14:textFill>
            <w14:solidFill>
              <w14:schemeClr w14:val="tx1"/>
            </w14:solidFill>
          </w14:textFill>
        </w:rPr>
        <w:t>日</w:t>
      </w:r>
    </w:p>
    <w:p w14:paraId="28694784">
      <w:pPr>
        <w:rPr>
          <w:rFonts w:hint="eastAsia" w:ascii="仿宋" w:hAnsi="仿宋" w:eastAsia="仿宋" w:cs="仿宋"/>
          <w:color w:val="000000" w:themeColor="text1"/>
          <w14:textFill>
            <w14:solidFill>
              <w14:schemeClr w14:val="tx1"/>
            </w14:solidFill>
          </w14:textFill>
        </w:rPr>
      </w:pPr>
    </w:p>
    <w:p w14:paraId="7EBD1A5F">
      <w:pPr>
        <w:rPr>
          <w:rFonts w:hint="eastAsia" w:ascii="仿宋" w:hAnsi="仿宋" w:eastAsia="仿宋" w:cs="仿宋"/>
          <w:b/>
          <w:snapToGrid/>
          <w:color w:val="000000" w:themeColor="text1"/>
          <w:kern w:val="0"/>
          <w:sz w:val="28"/>
          <w:szCs w:val="28"/>
          <w14:textFill>
            <w14:solidFill>
              <w14:schemeClr w14:val="tx1"/>
            </w14:solidFill>
          </w14:textFill>
        </w:rPr>
      </w:pPr>
    </w:p>
    <w:p w14:paraId="133ADD11">
      <w:pPr>
        <w:pStyle w:val="36"/>
        <w:ind w:firstLine="210"/>
        <w:rPr>
          <w:rFonts w:hint="eastAsia" w:ascii="仿宋" w:hAnsi="仿宋" w:eastAsia="仿宋" w:cs="仿宋"/>
          <w:color w:val="000000" w:themeColor="text1"/>
          <w14:textFill>
            <w14:solidFill>
              <w14:schemeClr w14:val="tx1"/>
            </w14:solidFill>
          </w14:textFill>
        </w:rPr>
      </w:pPr>
    </w:p>
    <w:bookmarkEnd w:id="472"/>
    <w:bookmarkEnd w:id="473"/>
    <w:bookmarkEnd w:id="474"/>
    <w:bookmarkEnd w:id="475"/>
    <w:bookmarkEnd w:id="476"/>
    <w:p w14:paraId="3920D1F9">
      <w:pPr>
        <w:pStyle w:val="4"/>
        <w:outlineLvl w:val="9"/>
        <w:rPr>
          <w:rFonts w:hint="eastAsia" w:ascii="仿宋" w:hAnsi="仿宋" w:eastAsia="仿宋" w:cs="仿宋"/>
          <w:color w:val="000000" w:themeColor="text1"/>
          <w14:textFill>
            <w14:solidFill>
              <w14:schemeClr w14:val="tx1"/>
            </w14:solidFill>
          </w14:textFill>
        </w:rPr>
      </w:pPr>
      <w:bookmarkStart w:id="481" w:name="_Toc6496691"/>
      <w:bookmarkStart w:id="482" w:name="_Toc46924594"/>
    </w:p>
    <w:p w14:paraId="2965A5AC">
      <w:pPr>
        <w:pStyle w:val="4"/>
        <w:jc w:val="center"/>
        <w:rPr>
          <w:rFonts w:hint="eastAsia" w:ascii="仿宋" w:hAnsi="仿宋" w:eastAsia="仿宋" w:cs="仿宋"/>
          <w:b/>
          <w:bCs w:val="0"/>
          <w:color w:val="000000" w:themeColor="text1"/>
          <w14:textFill>
            <w14:solidFill>
              <w14:schemeClr w14:val="tx1"/>
            </w14:solidFill>
          </w14:textFill>
        </w:rPr>
      </w:pPr>
      <w:bookmarkStart w:id="483" w:name="_Toc13001"/>
      <w:r>
        <w:rPr>
          <w:rFonts w:hint="eastAsia" w:ascii="仿宋" w:hAnsi="仿宋" w:eastAsia="仿宋" w:cs="仿宋"/>
          <w:b/>
          <w:bCs w:val="0"/>
          <w:color w:val="000000" w:themeColor="text1"/>
          <w14:textFill>
            <w14:solidFill>
              <w14:schemeClr w14:val="tx1"/>
            </w14:solidFill>
          </w14:textFill>
        </w:rPr>
        <w:t>（三）类似项目业绩表</w:t>
      </w:r>
      <w:bookmarkEnd w:id="481"/>
      <w:bookmarkEnd w:id="482"/>
      <w:bookmarkEnd w:id="483"/>
    </w:p>
    <w:p w14:paraId="51F7CA27">
      <w:pPr>
        <w:rPr>
          <w:rFonts w:hint="eastAsia" w:ascii="仿宋" w:hAnsi="仿宋" w:eastAsia="仿宋" w:cs="仿宋"/>
          <w:color w:val="000000" w:themeColor="text1"/>
          <w14:textFill>
            <w14:solidFill>
              <w14:schemeClr w14:val="tx1"/>
            </w14:solidFill>
          </w14:textFill>
        </w:rPr>
      </w:pPr>
    </w:p>
    <w:tbl>
      <w:tblPr>
        <w:tblStyle w:val="37"/>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1"/>
        <w:gridCol w:w="2434"/>
        <w:gridCol w:w="1843"/>
        <w:gridCol w:w="1899"/>
        <w:gridCol w:w="1620"/>
      </w:tblGrid>
      <w:tr w14:paraId="05768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6E4359D3">
            <w:pPr>
              <w:ind w:left="210" w:hanging="210" w:hangingChars="10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序号</w:t>
            </w:r>
          </w:p>
        </w:tc>
        <w:tc>
          <w:tcPr>
            <w:tcW w:w="2434" w:type="dxa"/>
            <w:tcBorders>
              <w:top w:val="single" w:color="auto" w:sz="4" w:space="0"/>
              <w:left w:val="single" w:color="auto" w:sz="4" w:space="0"/>
              <w:bottom w:val="single" w:color="auto" w:sz="4" w:space="0"/>
              <w:right w:val="single" w:color="auto" w:sz="4" w:space="0"/>
            </w:tcBorders>
            <w:vAlign w:val="center"/>
          </w:tcPr>
          <w:p w14:paraId="7BF129B7">
            <w:pPr>
              <w:ind w:left="210" w:hanging="210" w:hangingChars="10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委托单位名称</w:t>
            </w:r>
          </w:p>
        </w:tc>
        <w:tc>
          <w:tcPr>
            <w:tcW w:w="1843" w:type="dxa"/>
            <w:tcBorders>
              <w:top w:val="single" w:color="auto" w:sz="4" w:space="0"/>
              <w:left w:val="single" w:color="auto" w:sz="4" w:space="0"/>
              <w:bottom w:val="single" w:color="auto" w:sz="4" w:space="0"/>
              <w:right w:val="single" w:color="auto" w:sz="4" w:space="0"/>
            </w:tcBorders>
            <w:vAlign w:val="center"/>
          </w:tcPr>
          <w:p w14:paraId="49159189">
            <w:pPr>
              <w:ind w:left="210" w:hanging="210" w:hangingChars="10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项目名称</w:t>
            </w:r>
          </w:p>
        </w:tc>
        <w:tc>
          <w:tcPr>
            <w:tcW w:w="1899" w:type="dxa"/>
            <w:tcBorders>
              <w:top w:val="single" w:color="auto" w:sz="4" w:space="0"/>
              <w:left w:val="single" w:color="auto" w:sz="4" w:space="0"/>
              <w:bottom w:val="single" w:color="auto" w:sz="4" w:space="0"/>
              <w:right w:val="single" w:color="auto" w:sz="4" w:space="0"/>
            </w:tcBorders>
            <w:vAlign w:val="center"/>
          </w:tcPr>
          <w:p w14:paraId="018B6B5E">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合同金额</w:t>
            </w:r>
          </w:p>
        </w:tc>
        <w:tc>
          <w:tcPr>
            <w:tcW w:w="1620" w:type="dxa"/>
            <w:tcBorders>
              <w:top w:val="single" w:color="auto" w:sz="4" w:space="0"/>
              <w:left w:val="single" w:color="auto" w:sz="4" w:space="0"/>
              <w:bottom w:val="single" w:color="auto" w:sz="4" w:space="0"/>
              <w:right w:val="single" w:color="auto" w:sz="4" w:space="0"/>
            </w:tcBorders>
            <w:vAlign w:val="center"/>
          </w:tcPr>
          <w:p w14:paraId="272CBA5D">
            <w:pPr>
              <w:ind w:left="210" w:hanging="210" w:hangingChars="10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委托时间</w:t>
            </w:r>
          </w:p>
        </w:tc>
      </w:tr>
      <w:tr w14:paraId="033DF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3CB28003">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2434" w:type="dxa"/>
            <w:tcBorders>
              <w:top w:val="single" w:color="auto" w:sz="4" w:space="0"/>
              <w:left w:val="single" w:color="auto" w:sz="4" w:space="0"/>
              <w:bottom w:val="single" w:color="auto" w:sz="4" w:space="0"/>
              <w:right w:val="single" w:color="auto" w:sz="4" w:space="0"/>
            </w:tcBorders>
          </w:tcPr>
          <w:p w14:paraId="19438A69">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162656E0">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0B105B9B">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3C9B04C8">
            <w:pPr>
              <w:ind w:firstLine="315" w:firstLineChars="150"/>
              <w:rPr>
                <w:rFonts w:hint="eastAsia" w:ascii="仿宋" w:hAnsi="仿宋" w:eastAsia="仿宋" w:cs="仿宋"/>
                <w:color w:val="000000" w:themeColor="text1"/>
                <w:szCs w:val="21"/>
                <w14:textFill>
                  <w14:solidFill>
                    <w14:schemeClr w14:val="tx1"/>
                  </w14:solidFill>
                </w14:textFill>
              </w:rPr>
            </w:pPr>
          </w:p>
        </w:tc>
      </w:tr>
      <w:tr w14:paraId="06B7E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3B3F2530">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2434" w:type="dxa"/>
            <w:tcBorders>
              <w:top w:val="single" w:color="auto" w:sz="4" w:space="0"/>
              <w:left w:val="single" w:color="auto" w:sz="4" w:space="0"/>
              <w:bottom w:val="single" w:color="auto" w:sz="4" w:space="0"/>
              <w:right w:val="single" w:color="auto" w:sz="4" w:space="0"/>
            </w:tcBorders>
          </w:tcPr>
          <w:p w14:paraId="2A77A06E">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43011B85">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198A563F">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16F61268">
            <w:pPr>
              <w:ind w:firstLine="315" w:firstLineChars="150"/>
              <w:rPr>
                <w:rFonts w:hint="eastAsia" w:ascii="仿宋" w:hAnsi="仿宋" w:eastAsia="仿宋" w:cs="仿宋"/>
                <w:color w:val="000000" w:themeColor="text1"/>
                <w:szCs w:val="21"/>
                <w14:textFill>
                  <w14:solidFill>
                    <w14:schemeClr w14:val="tx1"/>
                  </w14:solidFill>
                </w14:textFill>
              </w:rPr>
            </w:pPr>
          </w:p>
        </w:tc>
      </w:tr>
      <w:tr w14:paraId="1604C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1F60AECC">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2434" w:type="dxa"/>
            <w:tcBorders>
              <w:top w:val="single" w:color="auto" w:sz="4" w:space="0"/>
              <w:left w:val="single" w:color="auto" w:sz="4" w:space="0"/>
              <w:bottom w:val="single" w:color="auto" w:sz="4" w:space="0"/>
              <w:right w:val="single" w:color="auto" w:sz="4" w:space="0"/>
            </w:tcBorders>
          </w:tcPr>
          <w:p w14:paraId="3195DCE7">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3073AF86">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46381E60">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22DC8920">
            <w:pPr>
              <w:ind w:firstLine="315" w:firstLineChars="150"/>
              <w:rPr>
                <w:rFonts w:hint="eastAsia" w:ascii="仿宋" w:hAnsi="仿宋" w:eastAsia="仿宋" w:cs="仿宋"/>
                <w:color w:val="000000" w:themeColor="text1"/>
                <w:szCs w:val="21"/>
                <w14:textFill>
                  <w14:solidFill>
                    <w14:schemeClr w14:val="tx1"/>
                  </w14:solidFill>
                </w14:textFill>
              </w:rPr>
            </w:pPr>
          </w:p>
        </w:tc>
      </w:tr>
      <w:tr w14:paraId="33D00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3BA6DFCD">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2434" w:type="dxa"/>
            <w:tcBorders>
              <w:top w:val="single" w:color="auto" w:sz="4" w:space="0"/>
              <w:left w:val="single" w:color="auto" w:sz="4" w:space="0"/>
              <w:bottom w:val="single" w:color="auto" w:sz="4" w:space="0"/>
              <w:right w:val="single" w:color="auto" w:sz="4" w:space="0"/>
            </w:tcBorders>
          </w:tcPr>
          <w:p w14:paraId="073CFE7E">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4FB333DB">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1407D79E">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5118918A">
            <w:pPr>
              <w:ind w:firstLine="315" w:firstLineChars="150"/>
              <w:rPr>
                <w:rFonts w:hint="eastAsia" w:ascii="仿宋" w:hAnsi="仿宋" w:eastAsia="仿宋" w:cs="仿宋"/>
                <w:color w:val="000000" w:themeColor="text1"/>
                <w:szCs w:val="21"/>
                <w14:textFill>
                  <w14:solidFill>
                    <w14:schemeClr w14:val="tx1"/>
                  </w14:solidFill>
                </w14:textFill>
              </w:rPr>
            </w:pPr>
          </w:p>
        </w:tc>
      </w:tr>
      <w:tr w14:paraId="6EC2A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5BBCCEEA">
            <w:pPr>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w:t>
            </w:r>
          </w:p>
        </w:tc>
        <w:tc>
          <w:tcPr>
            <w:tcW w:w="2434" w:type="dxa"/>
            <w:tcBorders>
              <w:top w:val="single" w:color="auto" w:sz="4" w:space="0"/>
              <w:left w:val="single" w:color="auto" w:sz="4" w:space="0"/>
              <w:bottom w:val="single" w:color="auto" w:sz="4" w:space="0"/>
              <w:right w:val="single" w:color="auto" w:sz="4" w:space="0"/>
            </w:tcBorders>
          </w:tcPr>
          <w:p w14:paraId="3D19A9A9">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53D5DFE1">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28F3ADDD">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6A9907E4">
            <w:pPr>
              <w:ind w:firstLine="315" w:firstLineChars="150"/>
              <w:rPr>
                <w:rFonts w:hint="eastAsia" w:ascii="仿宋" w:hAnsi="仿宋" w:eastAsia="仿宋" w:cs="仿宋"/>
                <w:color w:val="000000" w:themeColor="text1"/>
                <w:szCs w:val="21"/>
                <w14:textFill>
                  <w14:solidFill>
                    <w14:schemeClr w14:val="tx1"/>
                  </w14:solidFill>
                </w14:textFill>
              </w:rPr>
            </w:pPr>
          </w:p>
        </w:tc>
      </w:tr>
      <w:tr w14:paraId="11AD0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71B27803">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w:t>
            </w:r>
          </w:p>
        </w:tc>
        <w:tc>
          <w:tcPr>
            <w:tcW w:w="2434" w:type="dxa"/>
            <w:tcBorders>
              <w:top w:val="single" w:color="auto" w:sz="4" w:space="0"/>
              <w:left w:val="single" w:color="auto" w:sz="4" w:space="0"/>
              <w:bottom w:val="single" w:color="auto" w:sz="4" w:space="0"/>
              <w:right w:val="single" w:color="auto" w:sz="4" w:space="0"/>
            </w:tcBorders>
          </w:tcPr>
          <w:p w14:paraId="7215302D">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145949F8">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12495E92">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7E4A01FB">
            <w:pPr>
              <w:ind w:firstLine="315" w:firstLineChars="150"/>
              <w:rPr>
                <w:rFonts w:hint="eastAsia" w:ascii="仿宋" w:hAnsi="仿宋" w:eastAsia="仿宋" w:cs="仿宋"/>
                <w:color w:val="000000" w:themeColor="text1"/>
                <w:szCs w:val="21"/>
                <w14:textFill>
                  <w14:solidFill>
                    <w14:schemeClr w14:val="tx1"/>
                  </w14:solidFill>
                </w14:textFill>
              </w:rPr>
            </w:pPr>
          </w:p>
        </w:tc>
      </w:tr>
      <w:tr w14:paraId="56E2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1" w:type="dxa"/>
            <w:tcBorders>
              <w:top w:val="single" w:color="auto" w:sz="4" w:space="0"/>
              <w:left w:val="single" w:color="auto" w:sz="4" w:space="0"/>
              <w:bottom w:val="single" w:color="auto" w:sz="4" w:space="0"/>
              <w:right w:val="single" w:color="auto" w:sz="4" w:space="0"/>
            </w:tcBorders>
            <w:vAlign w:val="center"/>
          </w:tcPr>
          <w:p w14:paraId="3401F7AE">
            <w:pPr>
              <w:ind w:firstLine="315" w:firstLineChars="150"/>
              <w:jc w:val="center"/>
              <w:rPr>
                <w:rFonts w:hint="eastAsia" w:ascii="仿宋" w:hAnsi="仿宋" w:eastAsia="仿宋" w:cs="仿宋"/>
                <w:color w:val="000000" w:themeColor="text1"/>
                <w:szCs w:val="21"/>
                <w14:textFill>
                  <w14:solidFill>
                    <w14:schemeClr w14:val="tx1"/>
                  </w14:solidFill>
                </w14:textFill>
              </w:rPr>
            </w:pPr>
          </w:p>
        </w:tc>
        <w:tc>
          <w:tcPr>
            <w:tcW w:w="2434" w:type="dxa"/>
            <w:tcBorders>
              <w:top w:val="single" w:color="auto" w:sz="4" w:space="0"/>
              <w:left w:val="single" w:color="auto" w:sz="4" w:space="0"/>
              <w:bottom w:val="single" w:color="auto" w:sz="4" w:space="0"/>
              <w:right w:val="single" w:color="auto" w:sz="4" w:space="0"/>
            </w:tcBorders>
          </w:tcPr>
          <w:p w14:paraId="4AD6CFA9">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tcPr>
          <w:p w14:paraId="083C6660">
            <w:pPr>
              <w:ind w:firstLine="315" w:firstLineChars="150"/>
              <w:rPr>
                <w:rFonts w:hint="eastAsia" w:ascii="仿宋" w:hAnsi="仿宋" w:eastAsia="仿宋" w:cs="仿宋"/>
                <w:color w:val="000000" w:themeColor="text1"/>
                <w:szCs w:val="21"/>
                <w14:textFill>
                  <w14:solidFill>
                    <w14:schemeClr w14:val="tx1"/>
                  </w14:solidFill>
                </w14:textFill>
              </w:rPr>
            </w:pPr>
          </w:p>
        </w:tc>
        <w:tc>
          <w:tcPr>
            <w:tcW w:w="1899" w:type="dxa"/>
            <w:tcBorders>
              <w:top w:val="single" w:color="auto" w:sz="4" w:space="0"/>
              <w:left w:val="single" w:color="auto" w:sz="4" w:space="0"/>
              <w:bottom w:val="single" w:color="auto" w:sz="4" w:space="0"/>
              <w:right w:val="single" w:color="auto" w:sz="4" w:space="0"/>
            </w:tcBorders>
          </w:tcPr>
          <w:p w14:paraId="60A0C08E">
            <w:pPr>
              <w:ind w:firstLine="315" w:firstLineChars="150"/>
              <w:rPr>
                <w:rFonts w:hint="eastAsia" w:ascii="仿宋" w:hAnsi="仿宋" w:eastAsia="仿宋" w:cs="仿宋"/>
                <w:color w:val="000000" w:themeColor="text1"/>
                <w:szCs w:val="21"/>
                <w14:textFill>
                  <w14:solidFill>
                    <w14:schemeClr w14:val="tx1"/>
                  </w14:solidFill>
                </w14:textFill>
              </w:rPr>
            </w:pPr>
          </w:p>
        </w:tc>
        <w:tc>
          <w:tcPr>
            <w:tcW w:w="1620" w:type="dxa"/>
            <w:tcBorders>
              <w:top w:val="single" w:color="auto" w:sz="4" w:space="0"/>
              <w:left w:val="single" w:color="auto" w:sz="4" w:space="0"/>
              <w:bottom w:val="single" w:color="auto" w:sz="4" w:space="0"/>
              <w:right w:val="single" w:color="auto" w:sz="4" w:space="0"/>
            </w:tcBorders>
          </w:tcPr>
          <w:p w14:paraId="426B4802">
            <w:pPr>
              <w:ind w:firstLine="315" w:firstLineChars="150"/>
              <w:rPr>
                <w:rFonts w:hint="eastAsia" w:ascii="仿宋" w:hAnsi="仿宋" w:eastAsia="仿宋" w:cs="仿宋"/>
                <w:color w:val="000000" w:themeColor="text1"/>
                <w:szCs w:val="21"/>
                <w14:textFill>
                  <w14:solidFill>
                    <w14:schemeClr w14:val="tx1"/>
                  </w14:solidFill>
                </w14:textFill>
              </w:rPr>
            </w:pPr>
          </w:p>
        </w:tc>
      </w:tr>
    </w:tbl>
    <w:p w14:paraId="73ECF8D9">
      <w:pPr>
        <w:pStyle w:val="19"/>
        <w:rPr>
          <w:rFonts w:hint="eastAsia" w:ascii="仿宋" w:hAnsi="仿宋" w:eastAsia="仿宋" w:cs="仿宋"/>
          <w:color w:val="000000" w:themeColor="text1"/>
          <w:szCs w:val="21"/>
          <w14:textFill>
            <w14:solidFill>
              <w14:schemeClr w14:val="tx1"/>
            </w14:solidFill>
          </w14:textFill>
        </w:rPr>
      </w:pPr>
    </w:p>
    <w:p w14:paraId="670A2920">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注：</w:t>
      </w:r>
    </w:p>
    <w:p w14:paraId="318AE6AB">
      <w:pPr>
        <w:spacing w:line="360" w:lineRule="auto"/>
        <w:ind w:firstLine="420" w:firstLineChars="200"/>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1、本表后须提供类似项目业绩列表及相对应的业绩证明材料，业绩证明材料为中标通知书或</w:t>
      </w:r>
      <w:r>
        <w:rPr>
          <w:rFonts w:hint="eastAsia" w:ascii="仿宋" w:hAnsi="仿宋" w:eastAsia="仿宋" w:cs="仿宋"/>
          <w:color w:val="000000" w:themeColor="text1"/>
          <w:szCs w:val="21"/>
          <w:lang w:eastAsia="zh-CN"/>
          <w14:textFill>
            <w14:solidFill>
              <w14:schemeClr w14:val="tx1"/>
            </w14:solidFill>
          </w14:textFill>
        </w:rPr>
        <w:t>合同协议书扫描件</w:t>
      </w:r>
      <w:r>
        <w:rPr>
          <w:rFonts w:hint="eastAsia" w:ascii="仿宋" w:hAnsi="仿宋" w:eastAsia="仿宋" w:cs="仿宋"/>
          <w:color w:val="000000" w:themeColor="text1"/>
          <w:szCs w:val="21"/>
          <w14:textFill>
            <w14:solidFill>
              <w14:schemeClr w14:val="tx1"/>
            </w14:solidFill>
          </w14:textFill>
        </w:rPr>
        <w:t>；无证明材料或未按要求提供证明材料或证明材料无法体现内容的，不予认可。</w:t>
      </w:r>
    </w:p>
    <w:p w14:paraId="271A2D31">
      <w:pPr>
        <w:spacing w:line="360" w:lineRule="auto"/>
        <w:ind w:firstLine="420" w:firstLineChars="200"/>
        <w:outlineLvl w:val="9"/>
        <w:rPr>
          <w:rFonts w:hint="eastAsia"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2、供应商可根据实际情况拓展本表。</w:t>
      </w:r>
    </w:p>
    <w:p w14:paraId="48F1701F">
      <w:pPr>
        <w:rPr>
          <w:rFonts w:hint="eastAsia" w:ascii="仿宋" w:hAnsi="仿宋" w:eastAsia="仿宋" w:cs="仿宋"/>
          <w:color w:val="000000" w:themeColor="text1"/>
          <w14:textFill>
            <w14:solidFill>
              <w14:schemeClr w14:val="tx1"/>
            </w14:solidFill>
          </w14:textFill>
        </w:rPr>
      </w:pPr>
    </w:p>
    <w:p w14:paraId="5FCC0125">
      <w:pPr>
        <w:rPr>
          <w:rFonts w:hint="eastAsia" w:ascii="仿宋" w:hAnsi="仿宋" w:eastAsia="仿宋" w:cs="仿宋"/>
          <w:color w:val="000000" w:themeColor="text1"/>
          <w14:textFill>
            <w14:solidFill>
              <w14:schemeClr w14:val="tx1"/>
            </w14:solidFill>
          </w14:textFill>
        </w:rPr>
      </w:pPr>
    </w:p>
    <w:p w14:paraId="03218D1C">
      <w:pPr>
        <w:pStyle w:val="8"/>
        <w:spacing w:line="48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14:textFill>
            <w14:solidFill>
              <w14:schemeClr w14:val="tx1"/>
            </w14:solidFill>
          </w14:textFill>
        </w:rPr>
        <w:t>供应商</w:t>
      </w:r>
      <w:r>
        <w:rPr>
          <w:rFonts w:hint="eastAsia" w:ascii="仿宋" w:hAnsi="仿宋" w:eastAsia="仿宋" w:cs="仿宋"/>
          <w:color w:val="000000" w:themeColor="text1"/>
          <w:sz w:val="28"/>
          <w:szCs w:val="28"/>
          <w14:textFill>
            <w14:solidFill>
              <w14:schemeClr w14:val="tx1"/>
            </w14:solidFill>
          </w14:textFill>
        </w:rPr>
        <w:t>（盖单位章）：</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289D648F">
      <w:pPr>
        <w:pStyle w:val="8"/>
        <w:spacing w:line="480" w:lineRule="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法定代表人或其委托代理人（签字）：</w:t>
      </w:r>
      <w:r>
        <w:rPr>
          <w:rFonts w:hint="eastAsia" w:ascii="仿宋" w:hAnsi="仿宋" w:eastAsia="仿宋" w:cs="仿宋"/>
          <w:color w:val="000000" w:themeColor="text1"/>
          <w:sz w:val="28"/>
          <w:szCs w:val="28"/>
          <w:u w:val="non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p>
    <w:p w14:paraId="09EB70E2">
      <w:pPr>
        <w:pStyle w:val="8"/>
        <w:spacing w:line="48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日      期：</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14:paraId="5962D695">
      <w:pPr>
        <w:rPr>
          <w:rFonts w:hint="eastAsia" w:ascii="仿宋" w:hAnsi="仿宋" w:eastAsia="仿宋" w:cs="仿宋"/>
          <w:color w:val="000000" w:themeColor="text1"/>
          <w14:textFill>
            <w14:solidFill>
              <w14:schemeClr w14:val="tx1"/>
            </w14:solidFill>
          </w14:textFill>
        </w:rPr>
      </w:pPr>
    </w:p>
    <w:p w14:paraId="27C553D6">
      <w:pPr>
        <w:rPr>
          <w:rFonts w:hint="eastAsia" w:ascii="仿宋" w:hAnsi="仿宋" w:eastAsia="仿宋" w:cs="仿宋"/>
          <w:color w:val="000000" w:themeColor="text1"/>
          <w14:textFill>
            <w14:solidFill>
              <w14:schemeClr w14:val="tx1"/>
            </w14:solidFill>
          </w14:textFill>
        </w:rPr>
      </w:pPr>
    </w:p>
    <w:p w14:paraId="15025675">
      <w:pPr>
        <w:rPr>
          <w:rFonts w:hint="eastAsia" w:ascii="仿宋" w:hAnsi="仿宋" w:eastAsia="仿宋" w:cs="仿宋"/>
          <w:color w:val="000000" w:themeColor="text1"/>
          <w14:textFill>
            <w14:solidFill>
              <w14:schemeClr w14:val="tx1"/>
            </w14:solidFill>
          </w14:textFill>
        </w:rPr>
      </w:pPr>
    </w:p>
    <w:p w14:paraId="5F5213C8">
      <w:pPr>
        <w:rPr>
          <w:rFonts w:hint="eastAsia" w:ascii="仿宋" w:hAnsi="仿宋" w:eastAsia="仿宋" w:cs="仿宋"/>
          <w:color w:val="000000" w:themeColor="text1"/>
          <w14:textFill>
            <w14:solidFill>
              <w14:schemeClr w14:val="tx1"/>
            </w14:solidFill>
          </w14:textFill>
        </w:rPr>
      </w:pPr>
    </w:p>
    <w:p w14:paraId="420604DB">
      <w:pPr>
        <w:rPr>
          <w:rFonts w:hint="eastAsia" w:ascii="仿宋" w:hAnsi="仿宋" w:eastAsia="仿宋" w:cs="仿宋"/>
          <w:color w:val="000000" w:themeColor="text1"/>
          <w14:textFill>
            <w14:solidFill>
              <w14:schemeClr w14:val="tx1"/>
            </w14:solidFill>
          </w14:textFill>
        </w:rPr>
      </w:pPr>
    </w:p>
    <w:p w14:paraId="47A7890E">
      <w:pPr>
        <w:rPr>
          <w:rFonts w:hint="eastAsia" w:ascii="仿宋" w:hAnsi="仿宋" w:eastAsia="仿宋" w:cs="仿宋"/>
          <w:color w:val="000000" w:themeColor="text1"/>
          <w14:textFill>
            <w14:solidFill>
              <w14:schemeClr w14:val="tx1"/>
            </w14:solidFill>
          </w14:textFill>
        </w:rPr>
      </w:pPr>
    </w:p>
    <w:p w14:paraId="56493DF4">
      <w:pPr>
        <w:rPr>
          <w:rFonts w:hint="eastAsia" w:ascii="仿宋" w:hAnsi="仿宋" w:eastAsia="仿宋" w:cs="仿宋"/>
          <w:color w:val="000000" w:themeColor="text1"/>
          <w14:textFill>
            <w14:solidFill>
              <w14:schemeClr w14:val="tx1"/>
            </w14:solidFill>
          </w14:textFill>
        </w:rPr>
      </w:pPr>
    </w:p>
    <w:p w14:paraId="2BCE1E9D">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p>
    <w:bookmarkEnd w:id="389"/>
    <w:bookmarkEnd w:id="390"/>
    <w:bookmarkEnd w:id="391"/>
    <w:bookmarkEnd w:id="392"/>
    <w:bookmarkEnd w:id="393"/>
    <w:bookmarkEnd w:id="394"/>
    <w:bookmarkEnd w:id="395"/>
    <w:p w14:paraId="4810D6FD">
      <w:pPr>
        <w:pStyle w:val="3"/>
        <w:keepLines w:val="0"/>
        <w:spacing w:before="240" w:after="240" w:line="360" w:lineRule="auto"/>
        <w:jc w:val="center"/>
        <w:outlineLvl w:val="9"/>
        <w:rPr>
          <w:rFonts w:hint="eastAsia" w:ascii="仿宋" w:hAnsi="仿宋" w:eastAsia="仿宋" w:cs="仿宋"/>
          <w:b/>
          <w:bCs w:val="0"/>
          <w:color w:val="000000" w:themeColor="text1"/>
          <w:szCs w:val="30"/>
          <w:lang w:val="en-US" w:eastAsia="zh-CN"/>
          <w14:textFill>
            <w14:solidFill>
              <w14:schemeClr w14:val="tx1"/>
            </w14:solidFill>
          </w14:textFill>
        </w:rPr>
        <w:sectPr>
          <w:pgSz w:w="11906" w:h="16838"/>
          <w:pgMar w:top="1440" w:right="1080" w:bottom="1440" w:left="1080" w:header="851" w:footer="992" w:gutter="0"/>
          <w:pgNumType w:fmt="decimal"/>
          <w:cols w:space="720" w:num="1"/>
          <w:docGrid w:type="lines" w:linePitch="312" w:charSpace="0"/>
        </w:sectPr>
      </w:pPr>
      <w:bookmarkStart w:id="484" w:name="_Toc491307331"/>
      <w:bookmarkStart w:id="485" w:name="_Toc46924595"/>
    </w:p>
    <w:p w14:paraId="449824E2">
      <w:pPr>
        <w:pStyle w:val="3"/>
        <w:keepLines w:val="0"/>
        <w:spacing w:before="240" w:after="240" w:line="360" w:lineRule="auto"/>
        <w:jc w:val="center"/>
        <w:rPr>
          <w:rFonts w:hint="eastAsia" w:ascii="仿宋" w:hAnsi="仿宋" w:eastAsia="仿宋" w:cs="仿宋"/>
          <w:b/>
          <w:bCs w:val="0"/>
          <w:color w:val="000000" w:themeColor="text1"/>
          <w:szCs w:val="30"/>
          <w:lang w:val="en-US"/>
          <w14:textFill>
            <w14:solidFill>
              <w14:schemeClr w14:val="tx1"/>
            </w14:solidFill>
          </w14:textFill>
        </w:rPr>
      </w:pPr>
      <w:bookmarkStart w:id="486" w:name="_Toc26239"/>
      <w:r>
        <w:rPr>
          <w:rFonts w:hint="eastAsia" w:ascii="仿宋" w:hAnsi="仿宋" w:eastAsia="仿宋" w:cs="仿宋"/>
          <w:b/>
          <w:bCs w:val="0"/>
          <w:color w:val="000000" w:themeColor="text1"/>
          <w:szCs w:val="30"/>
          <w:lang w:val="en-US" w:eastAsia="zh-CN"/>
          <w14:textFill>
            <w14:solidFill>
              <w14:schemeClr w14:val="tx1"/>
            </w14:solidFill>
          </w14:textFill>
        </w:rPr>
        <w:t>十</w:t>
      </w:r>
      <w:r>
        <w:rPr>
          <w:rFonts w:hint="eastAsia" w:ascii="仿宋" w:hAnsi="仿宋" w:eastAsia="仿宋" w:cs="仿宋"/>
          <w:b/>
          <w:bCs w:val="0"/>
          <w:color w:val="000000" w:themeColor="text1"/>
          <w:szCs w:val="30"/>
          <w:lang w:val="en-US"/>
          <w14:textFill>
            <w14:solidFill>
              <w14:schemeClr w14:val="tx1"/>
            </w14:solidFill>
          </w14:textFill>
        </w:rPr>
        <w:t>、竞争性磋商文件</w:t>
      </w:r>
      <w:r>
        <w:rPr>
          <w:rFonts w:hint="eastAsia" w:ascii="仿宋" w:hAnsi="仿宋" w:eastAsia="仿宋" w:cs="仿宋"/>
          <w:b/>
          <w:bCs w:val="0"/>
          <w:color w:val="000000" w:themeColor="text1"/>
          <w:kern w:val="0"/>
          <w:sz w:val="30"/>
          <w:szCs w:val="30"/>
          <w:lang w:val="en-US"/>
          <w14:textFill>
            <w14:solidFill>
              <w14:schemeClr w14:val="tx1"/>
            </w14:solidFill>
          </w14:textFill>
        </w:rPr>
        <w:t>要求</w:t>
      </w:r>
      <w:r>
        <w:rPr>
          <w:rFonts w:hint="eastAsia" w:ascii="仿宋" w:hAnsi="仿宋" w:eastAsia="仿宋" w:cs="仿宋"/>
          <w:b/>
          <w:bCs w:val="0"/>
          <w:color w:val="000000" w:themeColor="text1"/>
          <w:szCs w:val="30"/>
          <w:lang w:val="en-US"/>
          <w14:textFill>
            <w14:solidFill>
              <w14:schemeClr w14:val="tx1"/>
            </w14:solidFill>
          </w14:textFill>
        </w:rPr>
        <w:t>或供应商认为有必要提交的其他资料</w:t>
      </w:r>
      <w:bookmarkEnd w:id="486"/>
    </w:p>
    <w:p w14:paraId="4F0409F6">
      <w:pPr>
        <w:spacing w:line="360" w:lineRule="auto"/>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竞争性磋商文件要求或供应商认为有必要提交的其他资料、说明等，如荣誉证书等证明材料</w:t>
      </w:r>
    </w:p>
    <w:p w14:paraId="4630BED2">
      <w:pPr>
        <w:spacing w:line="360" w:lineRule="auto"/>
        <w:jc w:val="center"/>
        <w:rPr>
          <w:rFonts w:hint="eastAsia" w:ascii="仿宋" w:hAnsi="仿宋" w:eastAsia="仿宋" w:cs="仿宋"/>
          <w:color w:val="000000" w:themeColor="text1"/>
          <w:sz w:val="28"/>
          <w:szCs w:val="36"/>
          <w:lang w:val="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（格式自拟）</w:t>
      </w:r>
    </w:p>
    <w:p w14:paraId="123564DF">
      <w:pPr>
        <w:rPr>
          <w:rFonts w:hint="eastAsia" w:ascii="仿宋" w:hAnsi="仿宋" w:eastAsia="仿宋" w:cs="仿宋"/>
          <w:color w:val="000000" w:themeColor="text1"/>
          <w:sz w:val="36"/>
          <w:szCs w:val="36"/>
          <w:lang w:val="zh-CN"/>
          <w14:textFill>
            <w14:solidFill>
              <w14:schemeClr w14:val="tx1"/>
            </w14:solidFill>
          </w14:textFill>
        </w:rPr>
      </w:pPr>
    </w:p>
    <w:p w14:paraId="7B5D774E">
      <w:pPr>
        <w:rPr>
          <w:rFonts w:hint="eastAsia" w:ascii="仿宋" w:hAnsi="仿宋" w:eastAsia="仿宋" w:cs="仿宋"/>
          <w:color w:val="000000" w:themeColor="text1"/>
          <w:sz w:val="36"/>
          <w:szCs w:val="36"/>
          <w:lang w:val="zh-CN"/>
          <w14:textFill>
            <w14:solidFill>
              <w14:schemeClr w14:val="tx1"/>
            </w14:solidFill>
          </w14:textFill>
        </w:rPr>
      </w:pPr>
      <w:r>
        <w:rPr>
          <w:rFonts w:hint="eastAsia" w:ascii="仿宋" w:hAnsi="仿宋" w:eastAsia="仿宋" w:cs="仿宋"/>
          <w:color w:val="000000" w:themeColor="text1"/>
          <w:sz w:val="36"/>
          <w:szCs w:val="36"/>
          <w:lang w:val="zh-CN"/>
          <w14:textFill>
            <w14:solidFill>
              <w14:schemeClr w14:val="tx1"/>
            </w14:solidFill>
          </w14:textFill>
        </w:rPr>
        <w:br w:type="page"/>
      </w:r>
    </w:p>
    <w:bookmarkEnd w:id="484"/>
    <w:bookmarkEnd w:id="485"/>
    <w:p w14:paraId="1CF8B466">
      <w:pPr>
        <w:pStyle w:val="2"/>
        <w:keepNext/>
        <w:keepLines/>
        <w:pageBreakBefore w:val="0"/>
        <w:widowControl/>
        <w:kinsoku/>
        <w:wordWrap/>
        <w:overflowPunct/>
        <w:topLinePunct w:val="0"/>
        <w:autoSpaceDE/>
        <w:autoSpaceDN/>
        <w:bidi w:val="0"/>
        <w:adjustRightInd/>
        <w:snapToGrid/>
        <w:spacing w:before="240" w:after="240"/>
        <w:textAlignment w:val="auto"/>
        <w:rPr>
          <w:rFonts w:hint="eastAsia" w:ascii="仿宋" w:hAnsi="仿宋" w:eastAsia="仿宋" w:cs="仿宋"/>
          <w:color w:val="000000" w:themeColor="text1"/>
          <w:sz w:val="36"/>
          <w:szCs w:val="36"/>
          <w:lang w:val="zh-CN"/>
          <w14:textFill>
            <w14:solidFill>
              <w14:schemeClr w14:val="tx1"/>
            </w14:solidFill>
          </w14:textFill>
        </w:rPr>
      </w:pPr>
      <w:bookmarkStart w:id="487" w:name="_Toc421799430"/>
      <w:bookmarkStart w:id="488" w:name="_Toc421622894"/>
      <w:bookmarkStart w:id="489" w:name="_Toc46924603"/>
      <w:bookmarkStart w:id="490" w:name="_Toc24404"/>
      <w:bookmarkStart w:id="491" w:name="_Toc1036"/>
      <w:bookmarkStart w:id="492" w:name="_Toc7105"/>
      <w:r>
        <w:rPr>
          <w:rFonts w:hint="eastAsia" w:ascii="仿宋" w:hAnsi="仿宋" w:eastAsia="仿宋" w:cs="仿宋"/>
          <w:color w:val="000000" w:themeColor="text1"/>
          <w:sz w:val="36"/>
          <w:szCs w:val="36"/>
          <w:lang w:val="zh-CN"/>
          <w14:textFill>
            <w14:solidFill>
              <w14:schemeClr w14:val="tx1"/>
            </w14:solidFill>
          </w14:textFill>
        </w:rPr>
        <w:t xml:space="preserve">第五章  </w:t>
      </w:r>
      <w:bookmarkEnd w:id="487"/>
      <w:bookmarkEnd w:id="488"/>
      <w:r>
        <w:rPr>
          <w:rFonts w:hint="eastAsia" w:ascii="仿宋" w:hAnsi="仿宋" w:eastAsia="仿宋" w:cs="仿宋"/>
          <w:color w:val="000000" w:themeColor="text1"/>
          <w:sz w:val="36"/>
          <w:szCs w:val="36"/>
          <w:lang w:val="zh-CN"/>
          <w14:textFill>
            <w14:solidFill>
              <w14:schemeClr w14:val="tx1"/>
            </w14:solidFill>
          </w14:textFill>
        </w:rPr>
        <w:t>评审方法</w:t>
      </w:r>
      <w:bookmarkEnd w:id="489"/>
      <w:bookmarkEnd w:id="490"/>
      <w:bookmarkEnd w:id="491"/>
      <w:bookmarkEnd w:id="492"/>
      <w:bookmarkStart w:id="493" w:name="_Toc196764552"/>
    </w:p>
    <w:bookmarkEnd w:id="493"/>
    <w:p w14:paraId="128A5879">
      <w:pPr>
        <w:pStyle w:val="3"/>
        <w:spacing w:before="0" w:after="120" w:line="360" w:lineRule="auto"/>
        <w:jc w:val="center"/>
        <w:rPr>
          <w:rFonts w:hint="eastAsia" w:ascii="仿宋" w:hAnsi="仿宋" w:eastAsia="仿宋" w:cs="仿宋"/>
          <w:b/>
          <w:color w:val="000000" w:themeColor="text1"/>
          <w:sz w:val="28"/>
          <w:szCs w:val="28"/>
          <w:lang w:val="en-US"/>
          <w14:textFill>
            <w14:solidFill>
              <w14:schemeClr w14:val="tx1"/>
            </w14:solidFill>
          </w14:textFill>
        </w:rPr>
      </w:pPr>
      <w:bookmarkStart w:id="494" w:name="_Toc46924604"/>
      <w:bookmarkStart w:id="495" w:name="_Toc25959"/>
      <w:bookmarkStart w:id="496" w:name="_Toc482343782"/>
      <w:r>
        <w:rPr>
          <w:rFonts w:hint="eastAsia" w:ascii="仿宋" w:hAnsi="仿宋" w:eastAsia="仿宋" w:cs="仿宋"/>
          <w:b/>
          <w:color w:val="000000" w:themeColor="text1"/>
          <w:sz w:val="28"/>
          <w:szCs w:val="28"/>
          <w:lang w:val="en-US"/>
          <w14:textFill>
            <w14:solidFill>
              <w14:schemeClr w14:val="tx1"/>
            </w14:solidFill>
          </w14:textFill>
        </w:rPr>
        <w:t>评审方法前附表</w:t>
      </w:r>
      <w:bookmarkEnd w:id="494"/>
      <w:bookmarkEnd w:id="495"/>
      <w:bookmarkEnd w:id="496"/>
    </w:p>
    <w:tbl>
      <w:tblPr>
        <w:tblStyle w:val="37"/>
        <w:tblW w:w="10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013"/>
        <w:gridCol w:w="3180"/>
        <w:gridCol w:w="5564"/>
      </w:tblGrid>
      <w:tr w14:paraId="3A74D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blHeader/>
          <w:jc w:val="center"/>
        </w:trPr>
        <w:tc>
          <w:tcPr>
            <w:tcW w:w="1575" w:type="dxa"/>
            <w:gridSpan w:val="2"/>
            <w:vAlign w:val="center"/>
          </w:tcPr>
          <w:p w14:paraId="185447EB">
            <w:pPr>
              <w:spacing w:before="100" w:beforeAutospacing="1" w:after="100" w:afterAutospacing="1" w:line="24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条款号</w:t>
            </w:r>
          </w:p>
        </w:tc>
        <w:tc>
          <w:tcPr>
            <w:tcW w:w="3180" w:type="dxa"/>
            <w:vAlign w:val="center"/>
          </w:tcPr>
          <w:p w14:paraId="056DD43E">
            <w:pPr>
              <w:spacing w:before="100" w:beforeAutospacing="1" w:after="100" w:afterAutospacing="1" w:line="24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评审内容</w:t>
            </w:r>
          </w:p>
        </w:tc>
        <w:tc>
          <w:tcPr>
            <w:tcW w:w="5564" w:type="dxa"/>
            <w:vAlign w:val="center"/>
          </w:tcPr>
          <w:p w14:paraId="60F8A440">
            <w:pPr>
              <w:spacing w:before="100" w:beforeAutospacing="1" w:after="100" w:afterAutospacing="1" w:line="24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评审标准</w:t>
            </w:r>
          </w:p>
        </w:tc>
      </w:tr>
      <w:tr w14:paraId="52D0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restart"/>
            <w:vAlign w:val="center"/>
          </w:tcPr>
          <w:p w14:paraId="5A619A7B">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2.1</w:t>
            </w:r>
          </w:p>
        </w:tc>
        <w:tc>
          <w:tcPr>
            <w:tcW w:w="1013" w:type="dxa"/>
            <w:vMerge w:val="restart"/>
            <w:vAlign w:val="center"/>
          </w:tcPr>
          <w:p w14:paraId="5BA75580">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资格性评审标准</w:t>
            </w:r>
          </w:p>
        </w:tc>
        <w:tc>
          <w:tcPr>
            <w:tcW w:w="3180" w:type="dxa"/>
            <w:vAlign w:val="center"/>
          </w:tcPr>
          <w:p w14:paraId="4C906B15">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具有独立承担民事责任的能力</w:t>
            </w:r>
            <w:r>
              <w:rPr>
                <w:rFonts w:hint="eastAsia" w:ascii="仿宋" w:hAnsi="仿宋" w:eastAsia="仿宋" w:cs="仿宋"/>
                <w:color w:val="000000" w:themeColor="text1"/>
                <w:szCs w:val="21"/>
                <w:lang w:eastAsia="zh-CN"/>
                <w14:textFill>
                  <w14:solidFill>
                    <w14:schemeClr w14:val="tx1"/>
                  </w14:solidFill>
                </w14:textFill>
              </w:rPr>
              <w:t>：提供法人或者其他组织有效的营业执照等证明文件</w:t>
            </w:r>
          </w:p>
        </w:tc>
        <w:tc>
          <w:tcPr>
            <w:tcW w:w="5564" w:type="dxa"/>
            <w:vAlign w:val="center"/>
          </w:tcPr>
          <w:p w14:paraId="6CBD8789">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项规定</w:t>
            </w:r>
          </w:p>
        </w:tc>
      </w:tr>
      <w:tr w14:paraId="2B8F7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312A23E3">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2AD1C02F">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39B90A6A">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具有</w:t>
            </w:r>
            <w:r>
              <w:rPr>
                <w:rFonts w:hint="eastAsia" w:ascii="仿宋" w:hAnsi="仿宋" w:eastAsia="仿宋" w:cs="仿宋"/>
                <w:color w:val="000000" w:themeColor="text1"/>
                <w:szCs w:val="21"/>
                <w:lang w:val="zh-CN"/>
                <w14:textFill>
                  <w14:solidFill>
                    <w14:schemeClr w14:val="tx1"/>
                  </w14:solidFill>
                </w14:textFill>
              </w:rPr>
              <w:t>依法缴纳税收和社会保险的良好记录</w:t>
            </w:r>
          </w:p>
        </w:tc>
        <w:tc>
          <w:tcPr>
            <w:tcW w:w="5564" w:type="dxa"/>
            <w:vAlign w:val="center"/>
          </w:tcPr>
          <w:p w14:paraId="63DB61B5">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项规定</w:t>
            </w:r>
          </w:p>
        </w:tc>
      </w:tr>
      <w:tr w14:paraId="6B4B8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5AD12192">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230F3610">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021DBF23">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具有良好的商业信誉和健全的财务会计制度</w:t>
            </w:r>
          </w:p>
        </w:tc>
        <w:tc>
          <w:tcPr>
            <w:tcW w:w="5564" w:type="dxa"/>
            <w:vAlign w:val="center"/>
          </w:tcPr>
          <w:p w14:paraId="60A04202">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项规定</w:t>
            </w:r>
          </w:p>
        </w:tc>
      </w:tr>
      <w:tr w14:paraId="70EC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562" w:type="dxa"/>
            <w:vMerge w:val="continue"/>
            <w:vAlign w:val="center"/>
          </w:tcPr>
          <w:p w14:paraId="60180611">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0FDF276E">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67791041">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具有履行合同所必需的设备和专业技术能力</w:t>
            </w:r>
          </w:p>
        </w:tc>
        <w:tc>
          <w:tcPr>
            <w:tcW w:w="5564" w:type="dxa"/>
            <w:vAlign w:val="center"/>
          </w:tcPr>
          <w:p w14:paraId="6D0E37D3">
            <w:pPr>
              <w:spacing w:before="100" w:beforeAutospacing="1" w:after="100" w:afterAutospacing="1" w:line="240" w:lineRule="auto"/>
              <w:jc w:val="left"/>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提供证明材料或书面声明</w:t>
            </w:r>
          </w:p>
        </w:tc>
      </w:tr>
      <w:tr w14:paraId="123F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562" w:type="dxa"/>
            <w:vMerge w:val="continue"/>
            <w:vAlign w:val="center"/>
          </w:tcPr>
          <w:p w14:paraId="046F3FBA">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3A8FD9B9">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0E3598C6">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参加政府采购活动前三年内，在经营活动中没有重大违法记录</w:t>
            </w:r>
          </w:p>
        </w:tc>
        <w:tc>
          <w:tcPr>
            <w:tcW w:w="5564" w:type="dxa"/>
            <w:vAlign w:val="center"/>
          </w:tcPr>
          <w:p w14:paraId="00F797C3">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提供证明材料或书面声明</w:t>
            </w:r>
          </w:p>
        </w:tc>
      </w:tr>
      <w:tr w14:paraId="43AE9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562" w:type="dxa"/>
            <w:vMerge w:val="continue"/>
            <w:vAlign w:val="center"/>
          </w:tcPr>
          <w:p w14:paraId="6B99369F">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44C50D2E">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181EC1C3">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工程监理综合资质或市政公用工程专业乙级（含乙级）以上资质</w:t>
            </w:r>
          </w:p>
        </w:tc>
        <w:tc>
          <w:tcPr>
            <w:tcW w:w="5564" w:type="dxa"/>
            <w:vAlign w:val="center"/>
          </w:tcPr>
          <w:p w14:paraId="4D92D755">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项规定</w:t>
            </w:r>
          </w:p>
        </w:tc>
      </w:tr>
      <w:tr w14:paraId="7C2AC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562" w:type="dxa"/>
            <w:vMerge w:val="continue"/>
            <w:vAlign w:val="center"/>
          </w:tcPr>
          <w:p w14:paraId="5B6D60AC">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7D306564">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36E585AC">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总监理工程师的资格要求</w:t>
            </w:r>
          </w:p>
        </w:tc>
        <w:tc>
          <w:tcPr>
            <w:tcW w:w="5564" w:type="dxa"/>
            <w:vAlign w:val="center"/>
          </w:tcPr>
          <w:p w14:paraId="2FFE0097">
            <w:pPr>
              <w:spacing w:before="100" w:beforeAutospacing="1" w:after="100" w:afterAutospacing="1"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1.2</w:t>
            </w:r>
            <w:r>
              <w:rPr>
                <w:rFonts w:hint="eastAsia" w:ascii="仿宋" w:hAnsi="仿宋" w:eastAsia="仿宋" w:cs="仿宋"/>
                <w:color w:val="000000" w:themeColor="text1"/>
                <w:szCs w:val="21"/>
                <w14:textFill>
                  <w14:solidFill>
                    <w14:schemeClr w14:val="tx1"/>
                  </w14:solidFill>
                </w14:textFill>
              </w:rPr>
              <w:t>项规定</w:t>
            </w:r>
          </w:p>
        </w:tc>
      </w:tr>
      <w:tr w14:paraId="36AA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2D0A5CBD">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restart"/>
            <w:vAlign w:val="center"/>
          </w:tcPr>
          <w:p w14:paraId="59572F93">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形式及响应性评审标准</w:t>
            </w:r>
          </w:p>
        </w:tc>
        <w:tc>
          <w:tcPr>
            <w:tcW w:w="3180" w:type="dxa"/>
            <w:vAlign w:val="center"/>
          </w:tcPr>
          <w:p w14:paraId="399199F1">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供应商名称</w:t>
            </w:r>
          </w:p>
        </w:tc>
        <w:tc>
          <w:tcPr>
            <w:tcW w:w="5564" w:type="dxa"/>
            <w:vAlign w:val="center"/>
          </w:tcPr>
          <w:p w14:paraId="18BB2529">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与营业执照名称一致。</w:t>
            </w:r>
          </w:p>
        </w:tc>
      </w:tr>
      <w:tr w14:paraId="001DD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5684BD7C">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6E506C2D">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322BC049">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磋商</w:t>
            </w:r>
            <w:r>
              <w:rPr>
                <w:rFonts w:hint="eastAsia" w:ascii="仿宋" w:hAnsi="仿宋" w:eastAsia="仿宋" w:cs="仿宋"/>
                <w:color w:val="000000" w:themeColor="text1"/>
                <w:szCs w:val="21"/>
                <w14:textFill>
                  <w14:solidFill>
                    <w14:schemeClr w14:val="tx1"/>
                  </w14:solidFill>
                </w14:textFill>
              </w:rPr>
              <w:t>有效期</w:t>
            </w:r>
          </w:p>
        </w:tc>
        <w:tc>
          <w:tcPr>
            <w:tcW w:w="5564" w:type="dxa"/>
            <w:vAlign w:val="center"/>
          </w:tcPr>
          <w:p w14:paraId="0F1D19C1">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FF"/>
                <w:szCs w:val="21"/>
              </w:rPr>
              <w:t>符合第二章“供应商须知前附表”第3.4.1项规定</w:t>
            </w:r>
          </w:p>
        </w:tc>
      </w:tr>
      <w:tr w14:paraId="1AC06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2D57F74E">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69AF3C05">
            <w:pPr>
              <w:spacing w:before="100" w:beforeAutospacing="1" w:after="100" w:afterAutospacing="1" w:line="240" w:lineRule="auto"/>
              <w:jc w:val="center"/>
              <w:rPr>
                <w:rFonts w:hint="eastAsia" w:ascii="仿宋" w:hAnsi="仿宋" w:eastAsia="仿宋" w:cs="仿宋"/>
                <w:color w:val="000000" w:themeColor="text1"/>
                <w:sz w:val="24"/>
                <w14:textFill>
                  <w14:solidFill>
                    <w14:schemeClr w14:val="tx1"/>
                  </w14:solidFill>
                </w14:textFill>
              </w:rPr>
            </w:pPr>
          </w:p>
        </w:tc>
        <w:tc>
          <w:tcPr>
            <w:tcW w:w="3180" w:type="dxa"/>
            <w:vAlign w:val="center"/>
          </w:tcPr>
          <w:p w14:paraId="7FEEA0F5">
            <w:pPr>
              <w:spacing w:line="240" w:lineRule="auto"/>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服务期限</w:t>
            </w:r>
          </w:p>
        </w:tc>
        <w:tc>
          <w:tcPr>
            <w:tcW w:w="5564" w:type="dxa"/>
            <w:vAlign w:val="center"/>
          </w:tcPr>
          <w:p w14:paraId="29B7165D">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1.1.12</w:t>
            </w:r>
            <w:r>
              <w:rPr>
                <w:rFonts w:hint="eastAsia" w:ascii="仿宋" w:hAnsi="仿宋" w:eastAsia="仿宋" w:cs="仿宋"/>
                <w:color w:val="000000" w:themeColor="text1"/>
                <w:szCs w:val="21"/>
                <w14:textFill>
                  <w14:solidFill>
                    <w14:schemeClr w14:val="tx1"/>
                  </w14:solidFill>
                </w14:textFill>
              </w:rPr>
              <w:t>项规定</w:t>
            </w:r>
          </w:p>
        </w:tc>
      </w:tr>
      <w:tr w14:paraId="3BBE4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0BE6046D">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44506F76">
            <w:pPr>
              <w:spacing w:before="100" w:beforeAutospacing="1" w:after="100" w:afterAutospacing="1" w:line="240" w:lineRule="auto"/>
              <w:jc w:val="center"/>
              <w:rPr>
                <w:rFonts w:hint="eastAsia" w:ascii="仿宋" w:hAnsi="仿宋" w:eastAsia="仿宋" w:cs="仿宋"/>
                <w:color w:val="000000" w:themeColor="text1"/>
                <w:sz w:val="24"/>
                <w14:textFill>
                  <w14:solidFill>
                    <w14:schemeClr w14:val="tx1"/>
                  </w14:solidFill>
                </w14:textFill>
              </w:rPr>
            </w:pPr>
          </w:p>
        </w:tc>
        <w:tc>
          <w:tcPr>
            <w:tcW w:w="3180" w:type="dxa"/>
            <w:vAlign w:val="center"/>
          </w:tcPr>
          <w:p w14:paraId="5D4AF206">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质量要求</w:t>
            </w:r>
          </w:p>
        </w:tc>
        <w:tc>
          <w:tcPr>
            <w:tcW w:w="5564" w:type="dxa"/>
            <w:vAlign w:val="center"/>
          </w:tcPr>
          <w:p w14:paraId="6FD65454">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符合第二章“</w:t>
            </w:r>
            <w:r>
              <w:rPr>
                <w:rFonts w:hint="eastAsia" w:ascii="仿宋" w:hAnsi="仿宋" w:eastAsia="仿宋" w:cs="仿宋"/>
                <w:color w:val="0000FF"/>
                <w:szCs w:val="21"/>
              </w:rPr>
              <w:t>供应商须知前附表</w:t>
            </w:r>
            <w:r>
              <w:rPr>
                <w:rFonts w:hint="eastAsia" w:ascii="仿宋" w:hAnsi="仿宋" w:eastAsia="仿宋" w:cs="仿宋"/>
                <w:color w:val="000000" w:themeColor="text1"/>
                <w:szCs w:val="21"/>
                <w14:textFill>
                  <w14:solidFill>
                    <w14:schemeClr w14:val="tx1"/>
                  </w14:solidFill>
                </w14:textFill>
              </w:rPr>
              <w:t>”第</w:t>
            </w:r>
            <w:r>
              <w:rPr>
                <w:rFonts w:hint="eastAsia" w:ascii="仿宋" w:hAnsi="仿宋" w:eastAsia="仿宋" w:cs="仿宋"/>
                <w:color w:val="000000" w:themeColor="text1"/>
                <w:szCs w:val="21"/>
                <w:lang w:val="en-US" w:eastAsia="zh-CN"/>
                <w14:textFill>
                  <w14:solidFill>
                    <w14:schemeClr w14:val="tx1"/>
                  </w14:solidFill>
                </w14:textFill>
              </w:rPr>
              <w:t>1.1.13</w:t>
            </w:r>
            <w:r>
              <w:rPr>
                <w:rFonts w:hint="eastAsia" w:ascii="仿宋" w:hAnsi="仿宋" w:eastAsia="仿宋" w:cs="仿宋"/>
                <w:color w:val="000000" w:themeColor="text1"/>
                <w:szCs w:val="21"/>
                <w14:textFill>
                  <w14:solidFill>
                    <w14:schemeClr w14:val="tx1"/>
                  </w14:solidFill>
                </w14:textFill>
              </w:rPr>
              <w:t>项规定</w:t>
            </w:r>
          </w:p>
        </w:tc>
      </w:tr>
      <w:tr w14:paraId="51EB0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61E6CB75">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2940C09B">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175A1746">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响应文件</w:t>
            </w:r>
            <w:r>
              <w:rPr>
                <w:rFonts w:hint="eastAsia" w:ascii="仿宋" w:hAnsi="仿宋" w:eastAsia="仿宋" w:cs="仿宋"/>
                <w:color w:val="000000" w:themeColor="text1"/>
                <w:szCs w:val="21"/>
                <w:lang w:val="zh-CN"/>
                <w14:textFill>
                  <w14:solidFill>
                    <w14:schemeClr w14:val="tx1"/>
                  </w14:solidFill>
                </w14:textFill>
              </w:rPr>
              <w:t>签字盖章的要求</w:t>
            </w:r>
          </w:p>
        </w:tc>
        <w:tc>
          <w:tcPr>
            <w:tcW w:w="5564" w:type="dxa"/>
            <w:vAlign w:val="center"/>
          </w:tcPr>
          <w:p w14:paraId="65B4F025">
            <w:pPr>
              <w:spacing w:line="240" w:lineRule="auto"/>
              <w:jc w:val="left"/>
              <w:rPr>
                <w:rFonts w:hint="eastAsia" w:ascii="仿宋" w:hAnsi="仿宋" w:eastAsia="仿宋" w:cs="仿宋"/>
                <w:color w:val="0000FF"/>
                <w:szCs w:val="21"/>
              </w:rPr>
            </w:pPr>
            <w:r>
              <w:rPr>
                <w:rFonts w:hint="eastAsia" w:ascii="仿宋" w:hAnsi="仿宋" w:eastAsia="仿宋" w:cs="仿宋"/>
                <w:color w:val="0000FF"/>
                <w:szCs w:val="21"/>
              </w:rPr>
              <w:t>符合第二章“供应商须知前附表”第3.6.3项规定</w:t>
            </w:r>
          </w:p>
        </w:tc>
      </w:tr>
      <w:tr w14:paraId="4DF5D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1F5E9132">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1C45D118">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0B441312">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响应文件的格式</w:t>
            </w:r>
          </w:p>
        </w:tc>
        <w:tc>
          <w:tcPr>
            <w:tcW w:w="5564" w:type="dxa"/>
            <w:vAlign w:val="center"/>
          </w:tcPr>
          <w:p w14:paraId="78F96408">
            <w:pPr>
              <w:spacing w:line="240" w:lineRule="auto"/>
              <w:jc w:val="left"/>
              <w:rPr>
                <w:rFonts w:hint="eastAsia" w:ascii="仿宋" w:hAnsi="仿宋" w:eastAsia="仿宋" w:cs="仿宋"/>
                <w:color w:val="0000FF"/>
                <w:szCs w:val="21"/>
              </w:rPr>
            </w:pPr>
            <w:r>
              <w:rPr>
                <w:rFonts w:hint="eastAsia" w:ascii="仿宋" w:hAnsi="仿宋" w:eastAsia="仿宋" w:cs="仿宋"/>
                <w:color w:val="0000FF"/>
                <w:szCs w:val="21"/>
              </w:rPr>
              <w:t>符合第四章“响应文件格式”的要求</w:t>
            </w:r>
          </w:p>
        </w:tc>
      </w:tr>
      <w:tr w14:paraId="516CC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562" w:type="dxa"/>
            <w:vMerge w:val="continue"/>
            <w:vAlign w:val="center"/>
          </w:tcPr>
          <w:p w14:paraId="53C1029A">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087637FB">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5D1CB690">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磋商保证金</w:t>
            </w:r>
          </w:p>
        </w:tc>
        <w:tc>
          <w:tcPr>
            <w:tcW w:w="5564" w:type="dxa"/>
            <w:vAlign w:val="center"/>
          </w:tcPr>
          <w:p w14:paraId="44AB60CD">
            <w:pPr>
              <w:spacing w:before="100" w:beforeAutospacing="1" w:after="100" w:afterAutospacing="1" w:line="240" w:lineRule="auto"/>
              <w:jc w:val="left"/>
              <w:rPr>
                <w:rFonts w:hint="eastAsia" w:ascii="仿宋" w:hAnsi="仿宋" w:eastAsia="仿宋" w:cs="仿宋"/>
                <w:color w:val="0000FF"/>
                <w:szCs w:val="21"/>
              </w:rPr>
            </w:pPr>
            <w:r>
              <w:rPr>
                <w:rFonts w:hint="eastAsia" w:ascii="仿宋" w:hAnsi="仿宋" w:eastAsia="仿宋" w:cs="仿宋"/>
                <w:color w:val="0000FF"/>
                <w:szCs w:val="21"/>
              </w:rPr>
              <w:t>符合第二章“供应商须知前附表”第3.5.1项规定</w:t>
            </w:r>
          </w:p>
        </w:tc>
      </w:tr>
      <w:tr w14:paraId="67574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562" w:type="dxa"/>
            <w:vMerge w:val="continue"/>
            <w:vAlign w:val="center"/>
          </w:tcPr>
          <w:p w14:paraId="65BB07A9">
            <w:pPr>
              <w:spacing w:before="100" w:beforeAutospacing="1" w:after="100" w:afterAutospacing="1"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4EBBA6E2">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32DF966E">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法定代表人身份证明书</w:t>
            </w:r>
          </w:p>
        </w:tc>
        <w:tc>
          <w:tcPr>
            <w:tcW w:w="5564" w:type="dxa"/>
            <w:vAlign w:val="center"/>
          </w:tcPr>
          <w:p w14:paraId="4CE13BF9">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按竞争性磋商文件规定格式填写</w:t>
            </w:r>
          </w:p>
        </w:tc>
      </w:tr>
      <w:tr w14:paraId="44E1D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2" w:type="dxa"/>
            <w:vMerge w:val="continue"/>
            <w:vAlign w:val="center"/>
          </w:tcPr>
          <w:p w14:paraId="1E454EBD">
            <w:pPr>
              <w:spacing w:before="100" w:beforeAutospacing="1" w:after="100" w:afterAutospacing="1"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3291363C">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068F5A5D">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法定代表人授权委托书</w:t>
            </w:r>
          </w:p>
        </w:tc>
        <w:tc>
          <w:tcPr>
            <w:tcW w:w="5564" w:type="dxa"/>
            <w:vAlign w:val="center"/>
          </w:tcPr>
          <w:p w14:paraId="6A3BB596">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按竞争性磋商文件规定格式填写</w:t>
            </w:r>
          </w:p>
        </w:tc>
      </w:tr>
      <w:tr w14:paraId="03500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562" w:type="dxa"/>
            <w:vMerge w:val="continue"/>
            <w:vAlign w:val="center"/>
          </w:tcPr>
          <w:p w14:paraId="1718B141">
            <w:pPr>
              <w:spacing w:before="100" w:beforeAutospacing="1" w:after="100" w:afterAutospacing="1"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4B6AD0AB">
            <w:pPr>
              <w:spacing w:before="100" w:beforeAutospacing="1" w:after="100" w:afterAutospacing="1" w:line="240" w:lineRule="auto"/>
              <w:jc w:val="center"/>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3935B1AA">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投标报价</w:t>
            </w:r>
          </w:p>
        </w:tc>
        <w:tc>
          <w:tcPr>
            <w:tcW w:w="5564" w:type="dxa"/>
            <w:vAlign w:val="center"/>
          </w:tcPr>
          <w:p w14:paraId="08022E20">
            <w:pPr>
              <w:spacing w:line="240"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不得高于拦标价且不得低于成本价</w:t>
            </w:r>
          </w:p>
        </w:tc>
      </w:tr>
      <w:tr w14:paraId="1F861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562" w:type="dxa"/>
            <w:vMerge w:val="restart"/>
            <w:vAlign w:val="center"/>
          </w:tcPr>
          <w:p w14:paraId="08DBE509">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2.2</w:t>
            </w:r>
          </w:p>
        </w:tc>
        <w:tc>
          <w:tcPr>
            <w:tcW w:w="1013" w:type="dxa"/>
            <w:vMerge w:val="restart"/>
            <w:vAlign w:val="center"/>
          </w:tcPr>
          <w:p w14:paraId="5D9D9541">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详细评审标准</w:t>
            </w:r>
          </w:p>
        </w:tc>
        <w:tc>
          <w:tcPr>
            <w:tcW w:w="3180" w:type="dxa"/>
            <w:vAlign w:val="center"/>
          </w:tcPr>
          <w:p w14:paraId="409691B3">
            <w:pPr>
              <w:snapToGrid w:val="0"/>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评审得分计算公式</w:t>
            </w:r>
          </w:p>
        </w:tc>
        <w:tc>
          <w:tcPr>
            <w:tcW w:w="5564" w:type="dxa"/>
            <w:vAlign w:val="center"/>
          </w:tcPr>
          <w:p w14:paraId="5F5F29DA">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供应商的评审得分满分100分，</w:t>
            </w:r>
          </w:p>
          <w:p w14:paraId="496E29E7">
            <w:pPr>
              <w:spacing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供应商的评审得分＝</w:t>
            </w:r>
            <w:r>
              <w:rPr>
                <w:rFonts w:hint="eastAsia" w:ascii="仿宋" w:hAnsi="仿宋" w:eastAsia="仿宋" w:cs="仿宋"/>
                <w:color w:val="000000" w:themeColor="text1"/>
                <w:kern w:val="2"/>
                <w:szCs w:val="21"/>
                <w14:textFill>
                  <w14:solidFill>
                    <w14:schemeClr w14:val="tx1"/>
                  </w14:solidFill>
                </w14:textFill>
              </w:rPr>
              <w:t>F1＋F2＋F3</w:t>
            </w:r>
          </w:p>
          <w:p w14:paraId="5F2B0F37">
            <w:pPr>
              <w:spacing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其中：F1、F2、F3分别为价格评分、技术部分评分、商务部分评分3项评审因素的汇总得分。</w:t>
            </w:r>
          </w:p>
        </w:tc>
      </w:tr>
      <w:tr w14:paraId="44386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14:paraId="52DD91D5">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32C6989D">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7F61EDDB">
            <w:pPr>
              <w:snapToGrid w:val="0"/>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评审因素分值</w:t>
            </w:r>
          </w:p>
        </w:tc>
        <w:tc>
          <w:tcPr>
            <w:tcW w:w="5564" w:type="dxa"/>
            <w:vAlign w:val="center"/>
          </w:tcPr>
          <w:p w14:paraId="6BD8786C">
            <w:pPr>
              <w:spacing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价格评分F1满分</w:t>
            </w:r>
            <w:r>
              <w:rPr>
                <w:rFonts w:hint="eastAsia" w:ascii="仿宋" w:hAnsi="仿宋" w:eastAsia="仿宋" w:cs="仿宋"/>
                <w:color w:val="000000" w:themeColor="text1"/>
                <w:szCs w:val="21"/>
                <w:lang w:val="en-US" w:eastAsia="zh-CN"/>
                <w14:textFill>
                  <w14:solidFill>
                    <w14:schemeClr w14:val="tx1"/>
                  </w14:solidFill>
                </w14:textFill>
              </w:rPr>
              <w:t>30</w:t>
            </w:r>
            <w:r>
              <w:rPr>
                <w:rFonts w:hint="eastAsia" w:ascii="仿宋" w:hAnsi="仿宋" w:eastAsia="仿宋" w:cs="仿宋"/>
                <w:color w:val="000000" w:themeColor="text1"/>
                <w:szCs w:val="21"/>
                <w14:textFill>
                  <w14:solidFill>
                    <w14:schemeClr w14:val="tx1"/>
                  </w14:solidFill>
                </w14:textFill>
              </w:rPr>
              <w:t>分。</w:t>
            </w:r>
          </w:p>
          <w:p w14:paraId="790FC5F6">
            <w:pPr>
              <w:spacing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技术部分评分</w:t>
            </w:r>
            <w:r>
              <w:rPr>
                <w:rFonts w:hint="eastAsia" w:ascii="仿宋" w:hAnsi="仿宋" w:eastAsia="仿宋" w:cs="仿宋"/>
                <w:color w:val="000000" w:themeColor="text1"/>
                <w:szCs w:val="21"/>
                <w14:textFill>
                  <w14:solidFill>
                    <w14:schemeClr w14:val="tx1"/>
                  </w14:solidFill>
                </w14:textFill>
              </w:rPr>
              <w:t>F2满分</w:t>
            </w:r>
            <w:r>
              <w:rPr>
                <w:rFonts w:hint="eastAsia" w:ascii="仿宋" w:hAnsi="仿宋" w:eastAsia="仿宋" w:cs="仿宋"/>
                <w:color w:val="000000" w:themeColor="text1"/>
                <w:szCs w:val="21"/>
                <w:lang w:val="en-US" w:eastAsia="zh-CN"/>
                <w14:textFill>
                  <w14:solidFill>
                    <w14:schemeClr w14:val="tx1"/>
                  </w14:solidFill>
                </w14:textFill>
              </w:rPr>
              <w:t>50</w:t>
            </w:r>
            <w:r>
              <w:rPr>
                <w:rFonts w:hint="eastAsia" w:ascii="仿宋" w:hAnsi="仿宋" w:eastAsia="仿宋" w:cs="仿宋"/>
                <w:color w:val="000000" w:themeColor="text1"/>
                <w:szCs w:val="21"/>
                <w14:textFill>
                  <w14:solidFill>
                    <w14:schemeClr w14:val="tx1"/>
                  </w14:solidFill>
                </w14:textFill>
              </w:rPr>
              <w:t>分。</w:t>
            </w:r>
          </w:p>
          <w:p w14:paraId="6C5EB63D">
            <w:pPr>
              <w:spacing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b w:val="0"/>
                <w:bCs w:val="0"/>
                <w:color w:val="000000" w:themeColor="text1"/>
                <w:szCs w:val="21"/>
                <w:lang w:eastAsia="zh-CN"/>
                <w14:textFill>
                  <w14:solidFill>
                    <w14:schemeClr w14:val="tx1"/>
                  </w14:solidFill>
                </w14:textFill>
              </w:rPr>
              <w:t>商务部分评分</w:t>
            </w:r>
            <w:r>
              <w:rPr>
                <w:rFonts w:hint="eastAsia" w:ascii="仿宋" w:hAnsi="仿宋" w:eastAsia="仿宋" w:cs="仿宋"/>
                <w:color w:val="000000" w:themeColor="text1"/>
                <w:szCs w:val="21"/>
                <w14:textFill>
                  <w14:solidFill>
                    <w14:schemeClr w14:val="tx1"/>
                  </w14:solidFill>
                </w14:textFill>
              </w:rPr>
              <w:t>F3满分</w:t>
            </w:r>
            <w:r>
              <w:rPr>
                <w:rFonts w:hint="eastAsia" w:ascii="仿宋" w:hAnsi="仿宋" w:eastAsia="仿宋" w:cs="仿宋"/>
                <w:color w:val="000000" w:themeColor="text1"/>
                <w:szCs w:val="21"/>
                <w:lang w:val="en-US" w:eastAsia="zh-CN"/>
                <w14:textFill>
                  <w14:solidFill>
                    <w14:schemeClr w14:val="tx1"/>
                  </w14:solidFill>
                </w14:textFill>
              </w:rPr>
              <w:t>20</w:t>
            </w:r>
            <w:r>
              <w:rPr>
                <w:rFonts w:hint="eastAsia" w:ascii="仿宋" w:hAnsi="仿宋" w:eastAsia="仿宋" w:cs="仿宋"/>
                <w:color w:val="000000" w:themeColor="text1"/>
                <w:szCs w:val="21"/>
                <w14:textFill>
                  <w14:solidFill>
                    <w14:schemeClr w14:val="tx1"/>
                  </w14:solidFill>
                </w14:textFill>
              </w:rPr>
              <w:t>分。</w:t>
            </w:r>
          </w:p>
        </w:tc>
      </w:tr>
      <w:tr w14:paraId="6C744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14:paraId="70DA690E">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3AEE8056">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tcBorders>
              <w:bottom w:val="single" w:color="auto" w:sz="4" w:space="0"/>
            </w:tcBorders>
            <w:vAlign w:val="center"/>
          </w:tcPr>
          <w:p w14:paraId="61B84712">
            <w:pPr>
              <w:spacing w:line="240" w:lineRule="auto"/>
              <w:jc w:val="center"/>
              <w:rPr>
                <w:rFonts w:hint="eastAsia" w:ascii="仿宋" w:hAnsi="仿宋" w:eastAsia="仿宋" w:cs="仿宋"/>
                <w:color w:val="auto"/>
                <w:szCs w:val="21"/>
              </w:rPr>
            </w:pPr>
            <w:r>
              <w:rPr>
                <w:rFonts w:hint="eastAsia" w:ascii="仿宋" w:hAnsi="仿宋" w:eastAsia="仿宋" w:cs="仿宋"/>
                <w:color w:val="auto"/>
                <w:szCs w:val="21"/>
              </w:rPr>
              <w:t>价格评分F1</w:t>
            </w:r>
          </w:p>
          <w:p w14:paraId="6FF1CC60">
            <w:pPr>
              <w:spacing w:line="240" w:lineRule="auto"/>
              <w:jc w:val="center"/>
              <w:rPr>
                <w:rFonts w:hint="eastAsia" w:ascii="仿宋" w:hAnsi="仿宋" w:eastAsia="仿宋" w:cs="仿宋"/>
                <w:color w:val="auto"/>
                <w:szCs w:val="21"/>
              </w:rPr>
            </w:pPr>
            <w:r>
              <w:rPr>
                <w:rFonts w:hint="eastAsia" w:ascii="仿宋" w:hAnsi="仿宋" w:eastAsia="仿宋" w:cs="仿宋"/>
                <w:color w:val="auto"/>
                <w:szCs w:val="21"/>
              </w:rPr>
              <w:t>（满分</w:t>
            </w:r>
            <w:r>
              <w:rPr>
                <w:rFonts w:hint="eastAsia" w:ascii="仿宋" w:hAnsi="仿宋" w:eastAsia="仿宋" w:cs="仿宋"/>
                <w:color w:val="auto"/>
                <w:szCs w:val="21"/>
                <w:lang w:val="en-US" w:eastAsia="zh-CN"/>
              </w:rPr>
              <w:t>30</w:t>
            </w:r>
            <w:r>
              <w:rPr>
                <w:rFonts w:hint="eastAsia" w:ascii="仿宋" w:hAnsi="仿宋" w:eastAsia="仿宋" w:cs="仿宋"/>
                <w:color w:val="auto"/>
                <w:szCs w:val="21"/>
              </w:rPr>
              <w:t>分）</w:t>
            </w:r>
          </w:p>
        </w:tc>
        <w:tc>
          <w:tcPr>
            <w:tcW w:w="5564" w:type="dxa"/>
            <w:tcBorders>
              <w:bottom w:val="single" w:color="auto" w:sz="4" w:space="0"/>
            </w:tcBorders>
            <w:vAlign w:val="center"/>
          </w:tcPr>
          <w:p w14:paraId="1B8601AB">
            <w:pPr>
              <w:snapToGrid w:val="0"/>
              <w:spacing w:line="240" w:lineRule="auto"/>
              <w:rPr>
                <w:rFonts w:hint="eastAsia" w:ascii="仿宋" w:hAnsi="仿宋" w:eastAsia="仿宋" w:cs="仿宋"/>
                <w:color w:val="auto"/>
                <w:szCs w:val="21"/>
              </w:rPr>
            </w:pPr>
            <w:r>
              <w:rPr>
                <w:rFonts w:hint="eastAsia" w:ascii="仿宋" w:hAnsi="仿宋" w:eastAsia="仿宋" w:cs="仿宋"/>
                <w:color w:val="auto"/>
                <w:szCs w:val="21"/>
              </w:rPr>
              <w:t>满足竞争性磋商文件要求且</w:t>
            </w:r>
            <w:r>
              <w:rPr>
                <w:rFonts w:hint="eastAsia" w:ascii="仿宋" w:hAnsi="仿宋" w:eastAsia="仿宋" w:cs="仿宋"/>
                <w:color w:val="auto"/>
                <w:szCs w:val="21"/>
                <w:lang w:eastAsia="zh-CN"/>
              </w:rPr>
              <w:t>最后报价</w:t>
            </w:r>
            <w:r>
              <w:rPr>
                <w:rFonts w:hint="eastAsia" w:ascii="仿宋" w:hAnsi="仿宋" w:eastAsia="仿宋" w:cs="仿宋"/>
                <w:color w:val="auto"/>
                <w:szCs w:val="21"/>
              </w:rPr>
              <w:t>最低的磋商报价为评标基准价，其报价分为满分30分。其他供应商的价格评分统一按照下列公式计算：磋商报价得分=（评标基准价/磋商报价）×30。</w:t>
            </w:r>
          </w:p>
          <w:p w14:paraId="75F1F26A">
            <w:pPr>
              <w:snapToGrid w:val="0"/>
              <w:spacing w:line="240" w:lineRule="auto"/>
              <w:rPr>
                <w:rFonts w:hint="eastAsia" w:ascii="仿宋" w:hAnsi="仿宋" w:eastAsia="仿宋" w:cs="仿宋"/>
                <w:color w:val="auto"/>
                <w:szCs w:val="21"/>
              </w:rPr>
            </w:pPr>
            <w:r>
              <w:rPr>
                <w:rFonts w:hint="eastAsia" w:ascii="仿宋" w:hAnsi="仿宋" w:eastAsia="仿宋" w:cs="仿宋"/>
                <w:color w:val="auto"/>
                <w:szCs w:val="21"/>
              </w:rPr>
              <w:t>若供应商为小微企业的，本项目对符合规定的小微企业报价给予10%的扣除，用扣除后的价格参加评审，上述计算公式中小微企业的磋商总报价应先价格扣除后再进行评标基准价、报价得分计算，价格扣除计算公式：磋商报价×（1-10%）。</w:t>
            </w:r>
          </w:p>
          <w:p w14:paraId="3DC518EF">
            <w:pPr>
              <w:snapToGrid w:val="0"/>
              <w:spacing w:line="240" w:lineRule="auto"/>
              <w:rPr>
                <w:rFonts w:hint="eastAsia" w:ascii="仿宋" w:hAnsi="仿宋" w:eastAsia="仿宋" w:cs="仿宋"/>
                <w:color w:val="auto"/>
                <w:szCs w:val="21"/>
              </w:rPr>
            </w:pPr>
            <w:r>
              <w:rPr>
                <w:rFonts w:hint="eastAsia" w:ascii="仿宋" w:hAnsi="仿宋" w:eastAsia="仿宋" w:cs="仿宋"/>
                <w:color w:val="auto"/>
                <w:szCs w:val="21"/>
              </w:rPr>
              <w:t>计算结果保留小数点后两位，第三位四舍五入。</w:t>
            </w:r>
          </w:p>
        </w:tc>
      </w:tr>
      <w:tr w14:paraId="2B514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14:paraId="079E9E9E">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6ECC86D1">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restart"/>
            <w:vAlign w:val="center"/>
          </w:tcPr>
          <w:p w14:paraId="7E301763">
            <w:pPr>
              <w:spacing w:line="24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技术部分评分</w:t>
            </w:r>
            <w:r>
              <w:rPr>
                <w:rFonts w:hint="eastAsia" w:ascii="仿宋" w:hAnsi="仿宋" w:eastAsia="仿宋" w:cs="仿宋"/>
                <w:color w:val="000000" w:themeColor="text1"/>
                <w:szCs w:val="21"/>
                <w:lang w:val="en-US" w:eastAsia="zh-CN"/>
                <w14:textFill>
                  <w14:solidFill>
                    <w14:schemeClr w14:val="tx1"/>
                  </w14:solidFill>
                </w14:textFill>
              </w:rPr>
              <w:t>F2</w:t>
            </w:r>
            <w:r>
              <w:rPr>
                <w:rFonts w:hint="eastAsia" w:ascii="仿宋" w:hAnsi="仿宋" w:eastAsia="仿宋" w:cs="仿宋"/>
                <w:color w:val="000000" w:themeColor="text1"/>
                <w:szCs w:val="21"/>
                <w:lang w:val="zh-CN"/>
                <w14:textFill>
                  <w14:solidFill>
                    <w14:schemeClr w14:val="tx1"/>
                  </w14:solidFill>
                </w14:textFill>
              </w:rPr>
              <w:t>(满分</w:t>
            </w:r>
            <w:r>
              <w:rPr>
                <w:rFonts w:hint="eastAsia" w:ascii="仿宋" w:hAnsi="仿宋" w:eastAsia="仿宋" w:cs="仿宋"/>
                <w:color w:val="000000" w:themeColor="text1"/>
                <w:szCs w:val="21"/>
                <w:lang w:val="en-US" w:eastAsia="zh-CN"/>
                <w14:textFill>
                  <w14:solidFill>
                    <w14:schemeClr w14:val="tx1"/>
                  </w14:solidFill>
                </w14:textFill>
              </w:rPr>
              <w:t>50</w:t>
            </w:r>
            <w:r>
              <w:rPr>
                <w:rFonts w:hint="eastAsia" w:ascii="仿宋" w:hAnsi="仿宋" w:eastAsia="仿宋" w:cs="仿宋"/>
                <w:color w:val="000000" w:themeColor="text1"/>
                <w:szCs w:val="21"/>
                <w:lang w:val="zh-CN"/>
                <w14:textFill>
                  <w14:solidFill>
                    <w14:schemeClr w14:val="tx1"/>
                  </w14:solidFill>
                </w14:textFill>
              </w:rPr>
              <w:t>分)</w:t>
            </w:r>
          </w:p>
        </w:tc>
        <w:tc>
          <w:tcPr>
            <w:tcW w:w="5564" w:type="dxa"/>
            <w:vAlign w:val="center"/>
          </w:tcPr>
          <w:p w14:paraId="43E28EAA">
            <w:pPr>
              <w:snapToGrid w:val="0"/>
              <w:spacing w:before="93" w:beforeLines="30" w:line="240" w:lineRule="auto"/>
              <w:rPr>
                <w:rFonts w:hint="eastAsia" w:ascii="仿宋" w:hAnsi="仿宋" w:eastAsia="仿宋" w:cs="仿宋"/>
                <w:b/>
                <w:bCs/>
                <w:color w:val="000000" w:themeColor="text1"/>
                <w:szCs w:val="21"/>
                <w:lang w:eastAsia="zh-CN"/>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服务方案</w:t>
            </w:r>
            <w:r>
              <w:rPr>
                <w:rFonts w:hint="eastAsia" w:ascii="仿宋" w:hAnsi="仿宋" w:eastAsia="仿宋" w:cs="仿宋"/>
                <w:b/>
                <w:bCs/>
                <w:color w:val="000000" w:themeColor="text1"/>
                <w:szCs w:val="21"/>
                <w:lang w:eastAsia="zh-CN"/>
                <w14:textFill>
                  <w14:solidFill>
                    <w14:schemeClr w14:val="tx1"/>
                  </w14:solidFill>
                </w14:textFill>
              </w:rPr>
              <w:t>（满分</w:t>
            </w:r>
            <w:r>
              <w:rPr>
                <w:rFonts w:hint="eastAsia" w:ascii="仿宋" w:hAnsi="仿宋" w:eastAsia="仿宋" w:cs="仿宋"/>
                <w:b/>
                <w:bCs/>
                <w:color w:val="000000" w:themeColor="text1"/>
                <w:szCs w:val="21"/>
                <w:lang w:val="en-US" w:eastAsia="zh-CN"/>
                <w14:textFill>
                  <w14:solidFill>
                    <w14:schemeClr w14:val="tx1"/>
                  </w14:solidFill>
                </w14:textFill>
              </w:rPr>
              <w:t>10分</w:t>
            </w:r>
            <w:r>
              <w:rPr>
                <w:rFonts w:hint="eastAsia" w:ascii="仿宋" w:hAnsi="仿宋" w:eastAsia="仿宋" w:cs="仿宋"/>
                <w:b/>
                <w:bCs/>
                <w:color w:val="000000" w:themeColor="text1"/>
                <w:szCs w:val="21"/>
                <w:lang w:eastAsia="zh-CN"/>
                <w14:textFill>
                  <w14:solidFill>
                    <w14:schemeClr w14:val="tx1"/>
                  </w14:solidFill>
                </w14:textFill>
              </w:rPr>
              <w:t>）</w:t>
            </w:r>
          </w:p>
          <w:p w14:paraId="28525C34">
            <w:pPr>
              <w:snapToGrid w:val="0"/>
              <w:spacing w:before="93" w:beforeLines="30" w:line="240" w:lineRule="auto"/>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服务方案含①工作总体布置及安排、②重点难点分析2项内容。以上2项内容，每项满分5分，共10分：</w:t>
            </w:r>
          </w:p>
          <w:p w14:paraId="2294A8F3">
            <w:pPr>
              <w:snapToGrid w:val="0"/>
              <w:spacing w:before="93" w:beforeLines="30" w:line="240" w:lineRule="auto"/>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(1)每有一项内容全面、具体、详细，且针对性强的得5分。</w:t>
            </w:r>
          </w:p>
          <w:p w14:paraId="79C89F7D">
            <w:pPr>
              <w:snapToGrid w:val="0"/>
              <w:spacing w:before="93" w:beforeLines="30" w:line="240" w:lineRule="auto"/>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(2)每有一项内容全面合理但不详细，有一定针对性的得3分。</w:t>
            </w:r>
          </w:p>
          <w:p w14:paraId="2F5F206B">
            <w:pPr>
              <w:snapToGrid w:val="0"/>
              <w:spacing w:before="93" w:beforeLines="30" w:line="240" w:lineRule="auto"/>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(3)每有一项内容有描述但不清晰，针对性弱的，得1分。</w:t>
            </w:r>
          </w:p>
          <w:p w14:paraId="721ED73E">
            <w:pPr>
              <w:snapToGrid w:val="0"/>
              <w:spacing w:before="93" w:beforeLines="30" w:line="240" w:lineRule="auto"/>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(4)无相关内容的，得0分。</w:t>
            </w:r>
          </w:p>
        </w:tc>
      </w:tr>
      <w:tr w14:paraId="2FE4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14:paraId="50EDCA4E">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2052C073">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continue"/>
            <w:vAlign w:val="center"/>
          </w:tcPr>
          <w:p w14:paraId="45EB0E15">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217A352E">
            <w:pPr>
              <w:snapToGrid w:val="0"/>
              <w:spacing w:before="93" w:beforeLines="30" w:line="240" w:lineRule="auto"/>
              <w:rPr>
                <w:rFonts w:hint="eastAsia" w:ascii="仿宋" w:hAnsi="仿宋" w:eastAsia="仿宋" w:cs="仿宋"/>
                <w:b/>
                <w:bCs/>
                <w:color w:val="000000"/>
                <w:lang w:val="en-US" w:eastAsia="zh-CN"/>
              </w:rPr>
            </w:pPr>
            <w:r>
              <w:rPr>
                <w:rFonts w:hint="eastAsia" w:ascii="仿宋" w:hAnsi="仿宋" w:eastAsia="仿宋" w:cs="仿宋"/>
                <w:b/>
                <w:bCs/>
                <w:color w:val="000000"/>
                <w:lang w:val="en-US" w:eastAsia="zh-CN"/>
              </w:rPr>
              <w:t>质量控制（满分10分）</w:t>
            </w:r>
          </w:p>
          <w:p w14:paraId="42CB81D5">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1</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项目监理质量控制组织措施合理性强，针对性强，科学规范的，得10分；</w:t>
            </w:r>
          </w:p>
          <w:p w14:paraId="57199A2E">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2</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项目监理质量控制组织措施合理性较强，针对性欠佳，科学规范的，得8分；</w:t>
            </w:r>
          </w:p>
          <w:p w14:paraId="77A178E2">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3</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项目监理质量控制组织措施有一定合理性、针对性，得6分；</w:t>
            </w:r>
          </w:p>
          <w:p w14:paraId="32F163CD">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4</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项目监理质量控制组织措施合理性尚可，针对性不足，得4分；</w:t>
            </w:r>
          </w:p>
          <w:p w14:paraId="1F96CBAB">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5</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项目监理质量控制组织措施合理性不足，无针对性，得2分；</w:t>
            </w:r>
          </w:p>
          <w:p w14:paraId="18715F13">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无质量控制内容的，得0分。</w:t>
            </w:r>
          </w:p>
        </w:tc>
      </w:tr>
      <w:tr w14:paraId="4A6B0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562" w:type="dxa"/>
            <w:vMerge w:val="continue"/>
            <w:vAlign w:val="center"/>
          </w:tcPr>
          <w:p w14:paraId="76409D3F">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1E1573CF">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continue"/>
            <w:vAlign w:val="center"/>
          </w:tcPr>
          <w:p w14:paraId="3D14062C">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2E971857">
            <w:pPr>
              <w:snapToGrid w:val="0"/>
              <w:spacing w:before="93" w:beforeLines="30" w:line="240" w:lineRule="auto"/>
              <w:rPr>
                <w:rFonts w:hint="eastAsia"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进度控制（满分</w:t>
            </w:r>
            <w:r>
              <w:rPr>
                <w:rFonts w:hint="eastAsia" w:ascii="仿宋" w:hAnsi="仿宋" w:eastAsia="仿宋" w:cs="仿宋"/>
                <w:b/>
                <w:bCs/>
                <w:color w:val="000000" w:themeColor="text1"/>
                <w:szCs w:val="21"/>
                <w:lang w:val="en-US" w:eastAsia="zh-CN"/>
                <w14:textFill>
                  <w14:solidFill>
                    <w14:schemeClr w14:val="tx1"/>
                  </w14:solidFill>
                </w14:textFill>
              </w:rPr>
              <w:t>10</w:t>
            </w:r>
            <w:r>
              <w:rPr>
                <w:rFonts w:hint="eastAsia" w:ascii="仿宋" w:hAnsi="仿宋" w:eastAsia="仿宋" w:cs="仿宋"/>
                <w:b/>
                <w:bCs/>
                <w:color w:val="000000" w:themeColor="text1"/>
                <w:szCs w:val="21"/>
                <w14:textFill>
                  <w14:solidFill>
                    <w14:schemeClr w14:val="tx1"/>
                  </w14:solidFill>
                </w14:textFill>
              </w:rPr>
              <w:t>分）</w:t>
            </w:r>
          </w:p>
          <w:p w14:paraId="25A193BB">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1</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项目监理进度控制组织措施安排具体、切实可行、针对性强，进度计划特别详细的，得10分；</w:t>
            </w:r>
          </w:p>
          <w:p w14:paraId="04BEFA41">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2</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项目监理进度控制组织措施安排合理、可行、针对性较强，进度计划详细的，得8分；</w:t>
            </w:r>
          </w:p>
          <w:p w14:paraId="496CEEC5">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3</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项目监理进度控制组织措施安排有一定可行性、针对性，进度计划不够详细的，得6分；</w:t>
            </w:r>
          </w:p>
          <w:p w14:paraId="440C1E37">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4</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项目监理进度控制组织措施安排基本可行、针对不足，进度计划粗略的，得4分；</w:t>
            </w:r>
          </w:p>
          <w:p w14:paraId="222D61E1">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5</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项目监理进度控制组织措施不可行、无针对性，进度计划有缺陷的，得2分；</w:t>
            </w:r>
          </w:p>
          <w:p w14:paraId="65D5A6E2">
            <w:pPr>
              <w:snapToGrid w:val="0"/>
              <w:spacing w:before="93" w:beforeLines="30" w:line="24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14:textFill>
                  <w14:solidFill>
                    <w14:schemeClr w14:val="tx1"/>
                  </w14:solidFill>
                </w14:textFill>
              </w:rPr>
              <w:t>无进度控制内容的，得0分。</w:t>
            </w:r>
          </w:p>
        </w:tc>
      </w:tr>
      <w:tr w14:paraId="2EAEB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jc w:val="center"/>
        </w:trPr>
        <w:tc>
          <w:tcPr>
            <w:tcW w:w="562" w:type="dxa"/>
            <w:vMerge w:val="continue"/>
            <w:vAlign w:val="center"/>
          </w:tcPr>
          <w:p w14:paraId="71D2704B">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307785AB">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continue"/>
            <w:vAlign w:val="center"/>
          </w:tcPr>
          <w:p w14:paraId="0331245D">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79E78F69">
            <w:pPr>
              <w:snapToGrid w:val="0"/>
              <w:spacing w:before="93" w:beforeLines="30" w:line="240" w:lineRule="auto"/>
              <w:rPr>
                <w:rFonts w:hint="eastAsia" w:ascii="仿宋" w:hAnsi="仿宋" w:eastAsia="仿宋" w:cs="仿宋"/>
                <w:b/>
                <w:bCs/>
                <w:color w:val="000000" w:themeColor="text1"/>
                <w:szCs w:val="21"/>
                <w:lang w:eastAsia="zh-CN"/>
                <w14:textFill>
                  <w14:solidFill>
                    <w14:schemeClr w14:val="tx1"/>
                  </w14:solidFill>
                </w14:textFill>
              </w:rPr>
            </w:pPr>
            <w:r>
              <w:rPr>
                <w:rFonts w:hint="eastAsia" w:ascii="仿宋" w:hAnsi="仿宋" w:eastAsia="仿宋" w:cs="仿宋"/>
                <w:b/>
                <w:bCs/>
                <w:color w:val="000000" w:themeColor="text1"/>
                <w:szCs w:val="21"/>
                <w:lang w:eastAsia="zh-CN"/>
                <w14:textFill>
                  <w14:solidFill>
                    <w14:schemeClr w14:val="tx1"/>
                  </w14:solidFill>
                </w14:textFill>
              </w:rPr>
              <w:t>投资控制（满分</w:t>
            </w:r>
            <w:r>
              <w:rPr>
                <w:rFonts w:hint="eastAsia" w:ascii="仿宋" w:hAnsi="仿宋" w:eastAsia="仿宋" w:cs="仿宋"/>
                <w:b/>
                <w:bCs/>
                <w:color w:val="000000" w:themeColor="text1"/>
                <w:szCs w:val="21"/>
                <w:lang w:val="en-US" w:eastAsia="zh-CN"/>
                <w14:textFill>
                  <w14:solidFill>
                    <w14:schemeClr w14:val="tx1"/>
                  </w14:solidFill>
                </w14:textFill>
              </w:rPr>
              <w:t>10</w:t>
            </w:r>
            <w:r>
              <w:rPr>
                <w:rFonts w:hint="eastAsia" w:ascii="仿宋" w:hAnsi="仿宋" w:eastAsia="仿宋" w:cs="仿宋"/>
                <w:b/>
                <w:bCs/>
                <w:color w:val="000000" w:themeColor="text1"/>
                <w:szCs w:val="21"/>
                <w:lang w:eastAsia="zh-CN"/>
                <w14:textFill>
                  <w14:solidFill>
                    <w14:schemeClr w14:val="tx1"/>
                  </w14:solidFill>
                </w14:textFill>
              </w:rPr>
              <w:t>分）</w:t>
            </w:r>
          </w:p>
          <w:p w14:paraId="3AA1F402">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1</w:t>
            </w:r>
            <w:r>
              <w:rPr>
                <w:rFonts w:hint="eastAsia" w:ascii="仿宋" w:hAnsi="仿宋" w:eastAsia="仿宋" w:cs="仿宋"/>
                <w:color w:val="000000" w:themeColor="text1"/>
                <w:szCs w:val="21"/>
                <w:lang w:eastAsia="zh-CN"/>
                <w14:textFill>
                  <w14:solidFill>
                    <w14:schemeClr w14:val="tx1"/>
                  </w14:solidFill>
                </w14:textFill>
              </w:rPr>
              <w:t>）项目监理投资控制计划科学充分，逻辑性强，针对性、操作性强的，得10分；</w:t>
            </w:r>
          </w:p>
          <w:p w14:paraId="04C71A55">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2</w:t>
            </w:r>
            <w:r>
              <w:rPr>
                <w:rFonts w:hint="eastAsia" w:ascii="仿宋" w:hAnsi="仿宋" w:eastAsia="仿宋" w:cs="仿宋"/>
                <w:color w:val="000000" w:themeColor="text1"/>
                <w:szCs w:val="21"/>
                <w:lang w:eastAsia="zh-CN"/>
                <w14:textFill>
                  <w14:solidFill>
                    <w14:schemeClr w14:val="tx1"/>
                  </w14:solidFill>
                </w14:textFill>
              </w:rPr>
              <w:t>）项目监理投资控制计划逻辑性欠佳，针对性、操作性欠佳的，得8分；</w:t>
            </w:r>
          </w:p>
          <w:p w14:paraId="1810EE2F">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3</w:t>
            </w:r>
            <w:r>
              <w:rPr>
                <w:rFonts w:hint="eastAsia" w:ascii="仿宋" w:hAnsi="仿宋" w:eastAsia="仿宋" w:cs="仿宋"/>
                <w:color w:val="000000" w:themeColor="text1"/>
                <w:szCs w:val="21"/>
                <w:lang w:eastAsia="zh-CN"/>
                <w14:textFill>
                  <w14:solidFill>
                    <w14:schemeClr w14:val="tx1"/>
                  </w14:solidFill>
                </w14:textFill>
              </w:rPr>
              <w:t>）项目监理投资控制计划有一定逻辑性、针对性、操作性的，得6分；</w:t>
            </w:r>
          </w:p>
          <w:p w14:paraId="6F01F872">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4</w:t>
            </w:r>
            <w:r>
              <w:rPr>
                <w:rFonts w:hint="eastAsia" w:ascii="仿宋" w:hAnsi="仿宋" w:eastAsia="仿宋" w:cs="仿宋"/>
                <w:color w:val="000000" w:themeColor="text1"/>
                <w:szCs w:val="21"/>
                <w:lang w:eastAsia="zh-CN"/>
                <w14:textFill>
                  <w14:solidFill>
                    <w14:schemeClr w14:val="tx1"/>
                  </w14:solidFill>
                </w14:textFill>
              </w:rPr>
              <w:t>）项目监理投资控制计划合理，针对性、操作性不足的，得4分；</w:t>
            </w:r>
          </w:p>
          <w:p w14:paraId="0A1BA232">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5</w:t>
            </w:r>
            <w:r>
              <w:rPr>
                <w:rFonts w:hint="eastAsia" w:ascii="仿宋" w:hAnsi="仿宋" w:eastAsia="仿宋" w:cs="仿宋"/>
                <w:color w:val="000000" w:themeColor="text1"/>
                <w:szCs w:val="21"/>
                <w:lang w:eastAsia="zh-CN"/>
                <w14:textFill>
                  <w14:solidFill>
                    <w14:schemeClr w14:val="tx1"/>
                  </w14:solidFill>
                </w14:textFill>
              </w:rPr>
              <w:t>）项目监理投资控制计划可行，无针对性、操作性的，得2分；</w:t>
            </w:r>
          </w:p>
          <w:p w14:paraId="32C66601">
            <w:pPr>
              <w:snapToGrid w:val="0"/>
              <w:spacing w:before="93" w:beforeLines="30" w:line="240" w:lineRule="auto"/>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eastAsia="zh-CN"/>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6</w:t>
            </w:r>
            <w:r>
              <w:rPr>
                <w:rFonts w:hint="eastAsia" w:ascii="仿宋" w:hAnsi="仿宋" w:eastAsia="仿宋" w:cs="仿宋"/>
                <w:color w:val="000000" w:themeColor="text1"/>
                <w:szCs w:val="21"/>
                <w:lang w:eastAsia="zh-CN"/>
                <w14:textFill>
                  <w14:solidFill>
                    <w14:schemeClr w14:val="tx1"/>
                  </w14:solidFill>
                </w14:textFill>
              </w:rPr>
              <w:t>）无投资控制内容的，得0分。</w:t>
            </w:r>
          </w:p>
        </w:tc>
      </w:tr>
      <w:tr w14:paraId="1BBDD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2" w:hRule="atLeast"/>
          <w:jc w:val="center"/>
        </w:trPr>
        <w:tc>
          <w:tcPr>
            <w:tcW w:w="562" w:type="dxa"/>
            <w:vMerge w:val="continue"/>
            <w:vAlign w:val="center"/>
          </w:tcPr>
          <w:p w14:paraId="5C9194DF">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697BAF6D">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Align w:val="center"/>
          </w:tcPr>
          <w:p w14:paraId="08C76318">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0C94E929">
            <w:pPr>
              <w:snapToGrid w:val="0"/>
              <w:spacing w:before="93" w:beforeLines="30" w:line="240" w:lineRule="auto"/>
              <w:rPr>
                <w:rFonts w:hint="eastAsia" w:ascii="仿宋" w:hAnsi="仿宋" w:eastAsia="仿宋" w:cs="仿宋"/>
                <w:b/>
                <w:bCs/>
                <w:color w:val="000000" w:themeColor="text1"/>
                <w:szCs w:val="21"/>
                <w:lang w:eastAsia="zh-CN"/>
                <w14:textFill>
                  <w14:solidFill>
                    <w14:schemeClr w14:val="tx1"/>
                  </w14:solidFill>
                </w14:textFill>
              </w:rPr>
            </w:pPr>
            <w:r>
              <w:rPr>
                <w:rFonts w:hint="eastAsia" w:ascii="仿宋" w:hAnsi="仿宋" w:eastAsia="仿宋" w:cs="仿宋"/>
                <w:b/>
                <w:bCs/>
                <w:color w:val="000000" w:themeColor="text1"/>
                <w:szCs w:val="21"/>
                <w:lang w:eastAsia="zh-CN"/>
                <w14:textFill>
                  <w14:solidFill>
                    <w14:schemeClr w14:val="tx1"/>
                  </w14:solidFill>
                </w14:textFill>
              </w:rPr>
              <w:t>安全生产和文明施工（满分</w:t>
            </w:r>
            <w:r>
              <w:rPr>
                <w:rFonts w:hint="eastAsia" w:ascii="仿宋" w:hAnsi="仿宋" w:eastAsia="仿宋" w:cs="仿宋"/>
                <w:b/>
                <w:bCs/>
                <w:color w:val="000000" w:themeColor="text1"/>
                <w:szCs w:val="21"/>
                <w:lang w:val="en-US" w:eastAsia="zh-CN"/>
                <w14:textFill>
                  <w14:solidFill>
                    <w14:schemeClr w14:val="tx1"/>
                  </w14:solidFill>
                </w14:textFill>
              </w:rPr>
              <w:t>10分</w:t>
            </w:r>
            <w:r>
              <w:rPr>
                <w:rFonts w:hint="eastAsia" w:ascii="仿宋" w:hAnsi="仿宋" w:eastAsia="仿宋" w:cs="仿宋"/>
                <w:b/>
                <w:bCs/>
                <w:color w:val="000000" w:themeColor="text1"/>
                <w:szCs w:val="21"/>
                <w:lang w:eastAsia="zh-CN"/>
                <w14:textFill>
                  <w14:solidFill>
                    <w14:schemeClr w14:val="tx1"/>
                  </w14:solidFill>
                </w14:textFill>
              </w:rPr>
              <w:t>）</w:t>
            </w:r>
          </w:p>
          <w:p w14:paraId="0EC141F5">
            <w:pPr>
              <w:snapToGrid w:val="0"/>
              <w:spacing w:before="93" w:beforeLines="30" w:line="240" w:lineRule="auto"/>
              <w:rPr>
                <w:rFonts w:hint="eastAsia" w:ascii="仿宋" w:hAnsi="仿宋" w:eastAsia="仿宋" w:cs="仿宋"/>
                <w:b w:val="0"/>
                <w:bCs w:val="0"/>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（1）有具体、完整、可行的安全文明施工实施保证措施且合理、先进、可行、针对性强，并符合国家、省、州(市)的有关规定的，得10分；</w:t>
            </w:r>
          </w:p>
          <w:p w14:paraId="5D136D53">
            <w:pPr>
              <w:snapToGrid w:val="0"/>
              <w:spacing w:before="93" w:beforeLines="30" w:line="240" w:lineRule="auto"/>
              <w:rPr>
                <w:rFonts w:hint="eastAsia" w:ascii="仿宋" w:hAnsi="仿宋" w:eastAsia="仿宋" w:cs="仿宋"/>
                <w:b w:val="0"/>
                <w:bCs w:val="0"/>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（2）有完整、可行的安全文明施工实施保证措施，措施合理、针对性欠佳，并符合国家、省、州(市)的有关规定的，得8分；</w:t>
            </w:r>
          </w:p>
          <w:p w14:paraId="3E9C767F">
            <w:pPr>
              <w:snapToGrid w:val="0"/>
              <w:spacing w:before="93" w:beforeLines="30" w:line="240" w:lineRule="auto"/>
              <w:rPr>
                <w:rFonts w:hint="eastAsia" w:ascii="仿宋" w:hAnsi="仿宋" w:eastAsia="仿宋" w:cs="仿宋"/>
                <w:b w:val="0"/>
                <w:bCs w:val="0"/>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（3）有可行的安全文明施工实施保证措施，有一定合理性、可行性、针对性，符合国家、省、州(市)的有关规定的，得6分；</w:t>
            </w:r>
          </w:p>
          <w:p w14:paraId="20BA6D4C">
            <w:pPr>
              <w:snapToGrid w:val="0"/>
              <w:spacing w:before="93" w:beforeLines="30" w:line="240" w:lineRule="auto"/>
              <w:rPr>
                <w:rFonts w:hint="eastAsia" w:ascii="仿宋" w:hAnsi="仿宋" w:eastAsia="仿宋" w:cs="仿宋"/>
                <w:b w:val="0"/>
                <w:bCs w:val="0"/>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（4）有安全文明施工实施保证措施但不完善，合理性、可行性、针对性不足，符合国家、省、州(市)的有关规定的，得4分；</w:t>
            </w:r>
          </w:p>
          <w:p w14:paraId="642A6567">
            <w:pPr>
              <w:snapToGrid w:val="0"/>
              <w:spacing w:before="93" w:beforeLines="30" w:line="240" w:lineRule="auto"/>
              <w:rPr>
                <w:rFonts w:hint="eastAsia" w:ascii="仿宋" w:hAnsi="仿宋" w:eastAsia="仿宋" w:cs="仿宋"/>
                <w:b w:val="0"/>
                <w:bCs w:val="0"/>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（5）有简单的安全文明施工实施保证措施，无合理性、可行性、针对性，符合国家、省、州(市)的有关规定的，得2分；</w:t>
            </w:r>
          </w:p>
          <w:p w14:paraId="2CB76962">
            <w:pPr>
              <w:snapToGrid w:val="0"/>
              <w:spacing w:before="93" w:beforeLines="30" w:line="240" w:lineRule="auto"/>
              <w:rPr>
                <w:rFonts w:hint="eastAsia" w:ascii="仿宋" w:hAnsi="仿宋" w:eastAsia="仿宋" w:cs="仿宋"/>
                <w:b/>
                <w:bCs/>
                <w:color w:val="000000" w:themeColor="text1"/>
                <w:szCs w:val="21"/>
                <w:lang w:val="en-US" w:eastAsia="zh-CN"/>
                <w14:textFill>
                  <w14:solidFill>
                    <w14:schemeClr w14:val="tx1"/>
                  </w14:solidFill>
                </w14:textFill>
              </w:rPr>
            </w:pPr>
            <w:r>
              <w:rPr>
                <w:rFonts w:hint="eastAsia" w:ascii="仿宋" w:hAnsi="仿宋" w:eastAsia="仿宋" w:cs="仿宋"/>
                <w:b w:val="0"/>
                <w:bCs w:val="0"/>
                <w:color w:val="000000" w:themeColor="text1"/>
                <w:szCs w:val="21"/>
                <w:lang w:val="en-US" w:eastAsia="zh-CN"/>
                <w14:textFill>
                  <w14:solidFill>
                    <w14:schemeClr w14:val="tx1"/>
                  </w14:solidFill>
                </w14:textFill>
              </w:rPr>
              <w:t>（6）无安全生产和文明施工内容的，得0分。</w:t>
            </w:r>
          </w:p>
        </w:tc>
      </w:tr>
      <w:tr w14:paraId="348F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7" w:hRule="atLeast"/>
          <w:jc w:val="center"/>
        </w:trPr>
        <w:tc>
          <w:tcPr>
            <w:tcW w:w="562" w:type="dxa"/>
            <w:vMerge w:val="continue"/>
            <w:vAlign w:val="center"/>
          </w:tcPr>
          <w:p w14:paraId="686C8020">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66F4231C">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restart"/>
            <w:vAlign w:val="center"/>
          </w:tcPr>
          <w:p w14:paraId="68553462">
            <w:pPr>
              <w:spacing w:line="240" w:lineRule="auto"/>
              <w:jc w:val="center"/>
              <w:rPr>
                <w:rFonts w:hint="eastAsia" w:ascii="仿宋" w:hAnsi="仿宋" w:eastAsia="仿宋" w:cs="仿宋"/>
                <w:b w:val="0"/>
                <w:bCs w:val="0"/>
                <w:color w:val="000000" w:themeColor="text1"/>
                <w:szCs w:val="21"/>
                <w14:textFill>
                  <w14:solidFill>
                    <w14:schemeClr w14:val="tx1"/>
                  </w14:solidFill>
                </w14:textFill>
              </w:rPr>
            </w:pPr>
            <w:r>
              <w:rPr>
                <w:rFonts w:hint="eastAsia" w:ascii="仿宋" w:hAnsi="仿宋" w:eastAsia="仿宋" w:cs="仿宋"/>
                <w:b w:val="0"/>
                <w:bCs w:val="0"/>
                <w:color w:val="000000" w:themeColor="text1"/>
                <w:szCs w:val="21"/>
                <w:lang w:eastAsia="zh-CN"/>
                <w14:textFill>
                  <w14:solidFill>
                    <w14:schemeClr w14:val="tx1"/>
                  </w14:solidFill>
                </w14:textFill>
              </w:rPr>
              <w:t>商务部分评分</w:t>
            </w:r>
            <w:r>
              <w:rPr>
                <w:rFonts w:hint="eastAsia" w:ascii="仿宋" w:hAnsi="仿宋" w:eastAsia="仿宋" w:cs="仿宋"/>
                <w:b w:val="0"/>
                <w:bCs w:val="0"/>
                <w:color w:val="000000" w:themeColor="text1"/>
                <w:szCs w:val="21"/>
                <w:lang w:val="en-US" w:eastAsia="zh-CN"/>
                <w14:textFill>
                  <w14:solidFill>
                    <w14:schemeClr w14:val="tx1"/>
                  </w14:solidFill>
                </w14:textFill>
              </w:rPr>
              <w:t>F3</w:t>
            </w:r>
            <w:r>
              <w:rPr>
                <w:rFonts w:hint="eastAsia" w:ascii="仿宋" w:hAnsi="仿宋" w:eastAsia="仿宋" w:cs="仿宋"/>
                <w:b w:val="0"/>
                <w:bCs w:val="0"/>
                <w:color w:val="000000" w:themeColor="text1"/>
                <w:szCs w:val="21"/>
                <w14:textFill>
                  <w14:solidFill>
                    <w14:schemeClr w14:val="tx1"/>
                  </w14:solidFill>
                </w14:textFill>
              </w:rPr>
              <w:t>（</w:t>
            </w:r>
            <w:r>
              <w:rPr>
                <w:rFonts w:hint="eastAsia" w:ascii="仿宋" w:hAnsi="仿宋" w:eastAsia="仿宋" w:cs="仿宋"/>
                <w:b w:val="0"/>
                <w:bCs w:val="0"/>
                <w:color w:val="000000" w:themeColor="text1"/>
                <w:szCs w:val="21"/>
                <w:lang w:val="en-US" w:eastAsia="zh-CN"/>
                <w14:textFill>
                  <w14:solidFill>
                    <w14:schemeClr w14:val="tx1"/>
                  </w14:solidFill>
                </w14:textFill>
              </w:rPr>
              <w:t>20</w:t>
            </w:r>
            <w:r>
              <w:rPr>
                <w:rFonts w:hint="eastAsia" w:ascii="仿宋" w:hAnsi="仿宋" w:eastAsia="仿宋" w:cs="仿宋"/>
                <w:b w:val="0"/>
                <w:bCs w:val="0"/>
                <w:color w:val="000000" w:themeColor="text1"/>
                <w:szCs w:val="21"/>
                <w14:textFill>
                  <w14:solidFill>
                    <w14:schemeClr w14:val="tx1"/>
                  </w14:solidFill>
                </w14:textFill>
              </w:rPr>
              <w:t>分）</w:t>
            </w:r>
          </w:p>
          <w:p w14:paraId="2007558F">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6B8B4A2A">
            <w:pPr>
              <w:snapToGrid w:val="0"/>
              <w:spacing w:before="93" w:beforeLines="30" w:line="240" w:lineRule="auto"/>
              <w:rPr>
                <w:rFonts w:hint="eastAsia" w:ascii="仿宋" w:hAnsi="仿宋" w:eastAsia="仿宋" w:cs="仿宋"/>
                <w:b/>
                <w:bCs/>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bCs/>
                <w:snapToGrid w:val="0"/>
                <w:color w:val="000000" w:themeColor="text1"/>
                <w:kern w:val="21"/>
                <w:sz w:val="21"/>
                <w:szCs w:val="21"/>
                <w:lang w:eastAsia="zh-CN"/>
                <w14:textFill>
                  <w14:solidFill>
                    <w14:schemeClr w14:val="tx1"/>
                  </w14:solidFill>
                </w14:textFill>
              </w:rPr>
              <w:t>类似业绩（满分10分）</w:t>
            </w:r>
          </w:p>
          <w:p w14:paraId="009B27F7">
            <w:pPr>
              <w:numPr>
                <w:ilvl w:val="0"/>
                <w:numId w:val="0"/>
              </w:numPr>
              <w:snapToGrid w:val="0"/>
              <w:spacing w:before="93" w:beforeLines="30" w:line="240" w:lineRule="auto"/>
              <w:rPr>
                <w:rFonts w:hint="eastAsia" w:ascii="仿宋" w:hAnsi="仿宋" w:eastAsia="仿宋" w:cs="仿宋"/>
                <w:snapToGrid w:val="0"/>
                <w:color w:val="000000" w:themeColor="text1"/>
                <w:kern w:val="21"/>
                <w:sz w:val="21"/>
                <w:szCs w:val="21"/>
                <w:lang w:val="en-US" w:eastAsia="zh-CN"/>
                <w14:textFill>
                  <w14:solidFill>
                    <w14:schemeClr w14:val="tx1"/>
                  </w14:solidFill>
                </w14:textFill>
              </w:rPr>
            </w:pPr>
            <w:r>
              <w:rPr>
                <w:rFonts w:hint="eastAsia" w:ascii="仿宋" w:hAnsi="仿宋" w:eastAsia="仿宋" w:cs="仿宋"/>
                <w:snapToGrid w:val="0"/>
                <w:color w:val="000000" w:themeColor="text1"/>
                <w:kern w:val="21"/>
                <w:sz w:val="21"/>
                <w:szCs w:val="21"/>
                <w:lang w:val="en-US" w:eastAsia="zh-CN" w:bidi="ar-SA"/>
                <w14:textFill>
                  <w14:solidFill>
                    <w14:schemeClr w14:val="tx1"/>
                  </w14:solidFill>
                </w14:textFill>
              </w:rPr>
              <w:t>（1）</w:t>
            </w:r>
            <w:r>
              <w:rPr>
                <w:rFonts w:hint="eastAsia" w:ascii="仿宋" w:hAnsi="仿宋" w:eastAsia="仿宋" w:cs="仿宋"/>
                <w:snapToGrid w:val="0"/>
                <w:color w:val="000000" w:themeColor="text1"/>
                <w:kern w:val="21"/>
                <w:sz w:val="21"/>
                <w:szCs w:val="21"/>
                <w:lang w:eastAsia="zh-CN"/>
                <w14:textFill>
                  <w14:solidFill>
                    <w14:schemeClr w14:val="tx1"/>
                  </w14:solidFill>
                </w14:textFill>
              </w:rPr>
              <w:t>总监理工程师业绩：自202</w:t>
            </w:r>
            <w:r>
              <w:rPr>
                <w:rFonts w:hint="eastAsia" w:ascii="仿宋" w:hAnsi="仿宋" w:eastAsia="仿宋" w:cs="仿宋"/>
                <w:snapToGrid w:val="0"/>
                <w:color w:val="000000" w:themeColor="text1"/>
                <w:kern w:val="21"/>
                <w:sz w:val="21"/>
                <w:szCs w:val="21"/>
                <w:lang w:val="en-US" w:eastAsia="zh-CN"/>
                <w14:textFill>
                  <w14:solidFill>
                    <w14:schemeClr w14:val="tx1"/>
                  </w14:solidFill>
                </w14:textFill>
              </w:rPr>
              <w:t>2</w:t>
            </w:r>
            <w:r>
              <w:rPr>
                <w:rFonts w:hint="eastAsia" w:ascii="仿宋" w:hAnsi="仿宋" w:eastAsia="仿宋" w:cs="仿宋"/>
                <w:snapToGrid w:val="0"/>
                <w:color w:val="000000" w:themeColor="text1"/>
                <w:kern w:val="21"/>
                <w:sz w:val="21"/>
                <w:szCs w:val="21"/>
                <w:lang w:eastAsia="zh-CN"/>
                <w14:textFill>
                  <w14:solidFill>
                    <w14:schemeClr w14:val="tx1"/>
                  </w14:solidFill>
                </w14:textFill>
              </w:rPr>
              <w:t>年1月1日至今以总监理工程师身份承担过1项</w:t>
            </w:r>
            <w:r>
              <w:rPr>
                <w:rFonts w:hint="eastAsia" w:ascii="仿宋" w:hAnsi="仿宋" w:eastAsia="仿宋" w:cs="仿宋"/>
                <w:snapToGrid w:val="0"/>
                <w:color w:val="000000" w:themeColor="text1"/>
                <w:kern w:val="21"/>
                <w:sz w:val="21"/>
                <w:szCs w:val="21"/>
                <w:lang w:val="en-US" w:eastAsia="zh-CN"/>
                <w14:textFill>
                  <w14:solidFill>
                    <w14:schemeClr w14:val="tx1"/>
                  </w14:solidFill>
                </w14:textFill>
              </w:rPr>
              <w:t>类似</w:t>
            </w:r>
            <w:r>
              <w:rPr>
                <w:rFonts w:hint="eastAsia" w:ascii="仿宋" w:hAnsi="仿宋" w:eastAsia="仿宋" w:cs="仿宋"/>
                <w:snapToGrid w:val="0"/>
                <w:color w:val="000000" w:themeColor="text1"/>
                <w:kern w:val="21"/>
                <w:sz w:val="21"/>
                <w:szCs w:val="21"/>
                <w:lang w:eastAsia="zh-CN"/>
                <w14:textFill>
                  <w14:solidFill>
                    <w14:schemeClr w14:val="tx1"/>
                  </w14:solidFill>
                </w14:textFill>
              </w:rPr>
              <w:t>项目监理业绩的得</w:t>
            </w:r>
            <w:r>
              <w:rPr>
                <w:rFonts w:hint="eastAsia" w:ascii="仿宋" w:hAnsi="仿宋" w:eastAsia="仿宋" w:cs="仿宋"/>
                <w:snapToGrid w:val="0"/>
                <w:color w:val="000000" w:themeColor="text1"/>
                <w:kern w:val="21"/>
                <w:sz w:val="21"/>
                <w:szCs w:val="21"/>
                <w:lang w:val="en-US" w:eastAsia="zh-CN"/>
                <w14:textFill>
                  <w14:solidFill>
                    <w14:schemeClr w14:val="tx1"/>
                  </w14:solidFill>
                </w14:textFill>
              </w:rPr>
              <w:t>2</w:t>
            </w:r>
            <w:r>
              <w:rPr>
                <w:rFonts w:hint="eastAsia" w:ascii="仿宋" w:hAnsi="仿宋" w:eastAsia="仿宋" w:cs="仿宋"/>
                <w:snapToGrid w:val="0"/>
                <w:color w:val="000000" w:themeColor="text1"/>
                <w:kern w:val="21"/>
                <w:sz w:val="21"/>
                <w:szCs w:val="21"/>
                <w:lang w:eastAsia="zh-CN"/>
                <w14:textFill>
                  <w14:solidFill>
                    <w14:schemeClr w14:val="tx1"/>
                  </w14:solidFill>
                </w14:textFill>
              </w:rPr>
              <w:t>分，每增加一个得</w:t>
            </w:r>
            <w:r>
              <w:rPr>
                <w:rFonts w:hint="eastAsia" w:ascii="仿宋" w:hAnsi="仿宋" w:eastAsia="仿宋" w:cs="仿宋"/>
                <w:snapToGrid w:val="0"/>
                <w:color w:val="000000" w:themeColor="text1"/>
                <w:kern w:val="21"/>
                <w:sz w:val="21"/>
                <w:szCs w:val="21"/>
                <w:lang w:val="en-US" w:eastAsia="zh-CN"/>
                <w14:textFill>
                  <w14:solidFill>
                    <w14:schemeClr w14:val="tx1"/>
                  </w14:solidFill>
                </w14:textFill>
              </w:rPr>
              <w:t>0.5分，满分3分。</w:t>
            </w:r>
          </w:p>
          <w:p w14:paraId="765C1206">
            <w:pPr>
              <w:numPr>
                <w:ilvl w:val="0"/>
                <w:numId w:val="0"/>
              </w:numPr>
              <w:snapToGrid w:val="0"/>
              <w:spacing w:before="93" w:beforeLines="30" w:line="240" w:lineRule="auto"/>
              <w:rPr>
                <w:rFonts w:hint="eastAsia" w:ascii="仿宋" w:hAnsi="仿宋" w:eastAsia="仿宋" w:cs="仿宋"/>
                <w:snapToGrid w:val="0"/>
                <w:color w:val="000000" w:themeColor="text1"/>
                <w:kern w:val="21"/>
                <w:sz w:val="21"/>
                <w:szCs w:val="21"/>
                <w:lang w:val="en-US" w:eastAsia="zh-CN" w:bidi="ar-SA"/>
                <w14:textFill>
                  <w14:solidFill>
                    <w14:schemeClr w14:val="tx1"/>
                  </w14:solidFill>
                </w14:textFill>
              </w:rPr>
            </w:pPr>
            <w:r>
              <w:rPr>
                <w:rFonts w:hint="eastAsia" w:ascii="仿宋" w:hAnsi="仿宋" w:eastAsia="仿宋" w:cs="仿宋"/>
                <w:snapToGrid w:val="0"/>
                <w:color w:val="000000" w:themeColor="text1"/>
                <w:kern w:val="21"/>
                <w:sz w:val="21"/>
                <w:szCs w:val="21"/>
                <w:lang w:val="en-US" w:eastAsia="zh-CN" w:bidi="ar-SA"/>
                <w14:textFill>
                  <w14:solidFill>
                    <w14:schemeClr w14:val="tx1"/>
                  </w14:solidFill>
                </w14:textFill>
              </w:rPr>
              <w:t>（2）企业业绩：近三年（2022年01月至今）具有一个类似项目业绩得3分，</w:t>
            </w:r>
            <w:r>
              <w:rPr>
                <w:rFonts w:hint="eastAsia" w:ascii="仿宋" w:hAnsi="仿宋" w:eastAsia="仿宋" w:cs="仿宋"/>
                <w:snapToGrid w:val="0"/>
                <w:color w:val="000000" w:themeColor="text1"/>
                <w:kern w:val="21"/>
                <w:sz w:val="21"/>
                <w:szCs w:val="21"/>
                <w:lang w:eastAsia="zh-CN"/>
                <w14:textFill>
                  <w14:solidFill>
                    <w14:schemeClr w14:val="tx1"/>
                  </w14:solidFill>
                </w14:textFill>
              </w:rPr>
              <w:t>每增加一个得</w:t>
            </w:r>
            <w:r>
              <w:rPr>
                <w:rFonts w:hint="eastAsia" w:ascii="仿宋" w:hAnsi="仿宋" w:eastAsia="仿宋" w:cs="仿宋"/>
                <w:snapToGrid w:val="0"/>
                <w:color w:val="000000" w:themeColor="text1"/>
                <w:kern w:val="21"/>
                <w:sz w:val="21"/>
                <w:szCs w:val="21"/>
                <w:lang w:val="en-US" w:eastAsia="zh-CN"/>
                <w14:textFill>
                  <w14:solidFill>
                    <w14:schemeClr w14:val="tx1"/>
                  </w14:solidFill>
                </w14:textFill>
              </w:rPr>
              <w:t>1分，满分7分</w:t>
            </w:r>
            <w:r>
              <w:rPr>
                <w:rFonts w:hint="eastAsia" w:ascii="仿宋" w:hAnsi="仿宋" w:eastAsia="仿宋" w:cs="仿宋"/>
                <w:snapToGrid w:val="0"/>
                <w:color w:val="000000" w:themeColor="text1"/>
                <w:kern w:val="21"/>
                <w:sz w:val="21"/>
                <w:szCs w:val="21"/>
                <w:lang w:val="en-US" w:eastAsia="zh-CN" w:bidi="ar-SA"/>
                <w14:textFill>
                  <w14:solidFill>
                    <w14:schemeClr w14:val="tx1"/>
                  </w14:solidFill>
                </w14:textFill>
              </w:rPr>
              <w:t>。</w:t>
            </w:r>
          </w:p>
          <w:p w14:paraId="73AE5B1B">
            <w:pPr>
              <w:snapToGrid w:val="0"/>
              <w:spacing w:before="93" w:beforeLines="30" w:line="240" w:lineRule="auto"/>
              <w:rPr>
                <w:rFonts w:hint="eastAsia" w:ascii="仿宋" w:hAnsi="仿宋" w:eastAsia="仿宋" w:cs="仿宋"/>
                <w:snapToGrid w:val="0"/>
                <w:color w:val="000000" w:themeColor="text1"/>
                <w:kern w:val="21"/>
                <w:sz w:val="21"/>
                <w:szCs w:val="21"/>
                <w:lang w:eastAsia="zh-CN"/>
                <w14:textFill>
                  <w14:solidFill>
                    <w14:schemeClr w14:val="tx1"/>
                  </w14:solidFill>
                </w14:textFill>
              </w:rPr>
            </w:pPr>
            <w:r>
              <w:rPr>
                <w:rFonts w:hint="eastAsia" w:ascii="仿宋" w:hAnsi="仿宋" w:eastAsia="仿宋" w:cs="仿宋"/>
                <w:snapToGrid w:val="0"/>
                <w:color w:val="000000" w:themeColor="text1"/>
                <w:kern w:val="21"/>
                <w:sz w:val="21"/>
                <w:szCs w:val="21"/>
                <w:lang w:eastAsia="zh-CN"/>
                <w14:textFill>
                  <w14:solidFill>
                    <w14:schemeClr w14:val="tx1"/>
                  </w14:solidFill>
                </w14:textFill>
              </w:rPr>
              <w:t>注：提供中标（成交）通知书或合同协议书或相关证明材料的复印件。</w:t>
            </w:r>
          </w:p>
        </w:tc>
      </w:tr>
      <w:tr w14:paraId="07A10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2" w:type="dxa"/>
            <w:vMerge w:val="continue"/>
            <w:vAlign w:val="center"/>
          </w:tcPr>
          <w:p w14:paraId="6929E6AC">
            <w:pPr>
              <w:spacing w:line="240" w:lineRule="auto"/>
              <w:rPr>
                <w:rFonts w:hint="eastAsia" w:ascii="仿宋" w:hAnsi="仿宋" w:eastAsia="仿宋" w:cs="仿宋"/>
                <w:color w:val="000000" w:themeColor="text1"/>
                <w:szCs w:val="21"/>
                <w14:textFill>
                  <w14:solidFill>
                    <w14:schemeClr w14:val="tx1"/>
                  </w14:solidFill>
                </w14:textFill>
              </w:rPr>
            </w:pPr>
          </w:p>
        </w:tc>
        <w:tc>
          <w:tcPr>
            <w:tcW w:w="1013" w:type="dxa"/>
            <w:vMerge w:val="continue"/>
            <w:vAlign w:val="center"/>
          </w:tcPr>
          <w:p w14:paraId="75DC9505">
            <w:pPr>
              <w:spacing w:line="240" w:lineRule="auto"/>
              <w:rPr>
                <w:rFonts w:hint="eastAsia" w:ascii="仿宋" w:hAnsi="仿宋" w:eastAsia="仿宋" w:cs="仿宋"/>
                <w:color w:val="000000" w:themeColor="text1"/>
                <w:szCs w:val="21"/>
                <w14:textFill>
                  <w14:solidFill>
                    <w14:schemeClr w14:val="tx1"/>
                  </w14:solidFill>
                </w14:textFill>
              </w:rPr>
            </w:pPr>
          </w:p>
        </w:tc>
        <w:tc>
          <w:tcPr>
            <w:tcW w:w="3180" w:type="dxa"/>
            <w:vMerge w:val="continue"/>
            <w:vAlign w:val="center"/>
          </w:tcPr>
          <w:p w14:paraId="79D9907F">
            <w:pPr>
              <w:spacing w:line="240" w:lineRule="auto"/>
              <w:jc w:val="center"/>
              <w:rPr>
                <w:rFonts w:hint="eastAsia" w:ascii="仿宋" w:hAnsi="仿宋" w:eastAsia="仿宋" w:cs="仿宋"/>
                <w:color w:val="000000" w:themeColor="text1"/>
                <w:szCs w:val="21"/>
                <w14:textFill>
                  <w14:solidFill>
                    <w14:schemeClr w14:val="tx1"/>
                  </w14:solidFill>
                </w14:textFill>
              </w:rPr>
            </w:pPr>
          </w:p>
        </w:tc>
        <w:tc>
          <w:tcPr>
            <w:tcW w:w="5564" w:type="dxa"/>
            <w:vAlign w:val="center"/>
          </w:tcPr>
          <w:p w14:paraId="6B1EB34A">
            <w:pPr>
              <w:pStyle w:val="51"/>
              <w:keepLines/>
              <w:spacing w:line="240" w:lineRule="auto"/>
              <w:rPr>
                <w:rFonts w:hint="eastAsia" w:ascii="仿宋" w:hAnsi="仿宋" w:eastAsia="仿宋" w:cs="仿宋"/>
                <w:b/>
                <w:bCs/>
                <w:snapToGrid w:val="0"/>
                <w:color w:val="000000" w:themeColor="text1"/>
                <w:kern w:val="21"/>
                <w:sz w:val="21"/>
                <w:szCs w:val="21"/>
                <w14:textFill>
                  <w14:solidFill>
                    <w14:schemeClr w14:val="tx1"/>
                  </w14:solidFill>
                </w14:textFill>
              </w:rPr>
            </w:pPr>
            <w:r>
              <w:rPr>
                <w:rFonts w:hint="eastAsia" w:ascii="仿宋" w:hAnsi="仿宋" w:eastAsia="仿宋" w:cs="仿宋"/>
                <w:b/>
                <w:bCs/>
                <w:snapToGrid w:val="0"/>
                <w:color w:val="000000" w:themeColor="text1"/>
                <w:kern w:val="21"/>
                <w:sz w:val="21"/>
                <w:szCs w:val="21"/>
                <w14:textFill>
                  <w14:solidFill>
                    <w14:schemeClr w14:val="tx1"/>
                  </w14:solidFill>
                </w14:textFill>
              </w:rPr>
              <w:t>专业监理人员配备、经验综合评审（满分</w:t>
            </w:r>
            <w:r>
              <w:rPr>
                <w:rFonts w:hint="eastAsia" w:ascii="仿宋" w:hAnsi="仿宋" w:eastAsia="仿宋" w:cs="仿宋"/>
                <w:b/>
                <w:bCs/>
                <w:snapToGrid w:val="0"/>
                <w:color w:val="000000" w:themeColor="text1"/>
                <w:kern w:val="21"/>
                <w:sz w:val="21"/>
                <w:szCs w:val="21"/>
                <w:lang w:val="en-US" w:eastAsia="zh-CN"/>
                <w14:textFill>
                  <w14:solidFill>
                    <w14:schemeClr w14:val="tx1"/>
                  </w14:solidFill>
                </w14:textFill>
              </w:rPr>
              <w:t>10</w:t>
            </w:r>
            <w:r>
              <w:rPr>
                <w:rFonts w:hint="eastAsia" w:ascii="仿宋" w:hAnsi="仿宋" w:eastAsia="仿宋" w:cs="仿宋"/>
                <w:b/>
                <w:bCs/>
                <w:snapToGrid w:val="0"/>
                <w:color w:val="000000" w:themeColor="text1"/>
                <w:kern w:val="21"/>
                <w:sz w:val="21"/>
                <w:szCs w:val="21"/>
                <w14:textFill>
                  <w14:solidFill>
                    <w14:schemeClr w14:val="tx1"/>
                  </w14:solidFill>
                </w14:textFill>
              </w:rPr>
              <w:t>分）</w:t>
            </w:r>
          </w:p>
          <w:p w14:paraId="042059A7">
            <w:pPr>
              <w:pStyle w:val="51"/>
              <w:keepLines/>
              <w:spacing w:line="240" w:lineRule="auto"/>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w:t>
            </w:r>
            <w:r>
              <w:rPr>
                <w:rFonts w:hint="eastAsia" w:ascii="仿宋" w:hAnsi="仿宋" w:eastAsia="仿宋" w:cs="仿宋"/>
                <w:b w:val="0"/>
                <w:bCs w:val="0"/>
                <w:snapToGrid w:val="0"/>
                <w:color w:val="000000" w:themeColor="text1"/>
                <w:kern w:val="21"/>
                <w:sz w:val="21"/>
                <w:szCs w:val="21"/>
                <w:lang w:val="en-US" w:eastAsia="zh-CN"/>
                <w14:textFill>
                  <w14:solidFill>
                    <w14:schemeClr w14:val="tx1"/>
                  </w14:solidFill>
                </w14:textFill>
              </w:rPr>
              <w:t>1</w:t>
            </w: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）拟配备的专业监理人员专业结构合理、经验丰富的，得10分；</w:t>
            </w:r>
          </w:p>
          <w:p w14:paraId="20435AC8">
            <w:pPr>
              <w:pStyle w:val="51"/>
              <w:keepLines/>
              <w:spacing w:line="240" w:lineRule="auto"/>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w:t>
            </w:r>
            <w:r>
              <w:rPr>
                <w:rFonts w:hint="eastAsia" w:ascii="仿宋" w:hAnsi="仿宋" w:eastAsia="仿宋" w:cs="仿宋"/>
                <w:b w:val="0"/>
                <w:bCs w:val="0"/>
                <w:snapToGrid w:val="0"/>
                <w:color w:val="000000" w:themeColor="text1"/>
                <w:kern w:val="21"/>
                <w:sz w:val="21"/>
                <w:szCs w:val="21"/>
                <w:lang w:val="en-US" w:eastAsia="zh-CN"/>
                <w14:textFill>
                  <w14:solidFill>
                    <w14:schemeClr w14:val="tx1"/>
                  </w14:solidFill>
                </w14:textFill>
              </w:rPr>
              <w:t>2</w:t>
            </w: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）拟配备的专业监理人员专业结构较合理、有一定经验的，得7分；</w:t>
            </w:r>
          </w:p>
          <w:p w14:paraId="6D5C0EAF">
            <w:pPr>
              <w:pStyle w:val="51"/>
              <w:keepLines/>
              <w:spacing w:line="240" w:lineRule="auto"/>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w:t>
            </w:r>
            <w:r>
              <w:rPr>
                <w:rFonts w:hint="eastAsia" w:ascii="仿宋" w:hAnsi="仿宋" w:eastAsia="仿宋" w:cs="仿宋"/>
                <w:b w:val="0"/>
                <w:bCs w:val="0"/>
                <w:snapToGrid w:val="0"/>
                <w:color w:val="000000" w:themeColor="text1"/>
                <w:kern w:val="21"/>
                <w:sz w:val="21"/>
                <w:szCs w:val="21"/>
                <w:lang w:val="en-US" w:eastAsia="zh-CN"/>
                <w14:textFill>
                  <w14:solidFill>
                    <w14:schemeClr w14:val="tx1"/>
                  </w14:solidFill>
                </w14:textFill>
              </w:rPr>
              <w:t>3</w:t>
            </w: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）拟配备的专业监理人员专业结构基本合理、经验欠佳的，得4分。</w:t>
            </w:r>
          </w:p>
          <w:p w14:paraId="57780676">
            <w:pPr>
              <w:pStyle w:val="51"/>
              <w:keepLines/>
              <w:spacing w:line="240" w:lineRule="auto"/>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w:t>
            </w:r>
            <w:r>
              <w:rPr>
                <w:rFonts w:hint="eastAsia" w:ascii="仿宋" w:hAnsi="仿宋" w:eastAsia="仿宋" w:cs="仿宋"/>
                <w:b w:val="0"/>
                <w:bCs w:val="0"/>
                <w:snapToGrid w:val="0"/>
                <w:color w:val="000000" w:themeColor="text1"/>
                <w:kern w:val="21"/>
                <w:sz w:val="21"/>
                <w:szCs w:val="21"/>
                <w:lang w:val="en-US" w:eastAsia="zh-CN"/>
                <w14:textFill>
                  <w14:solidFill>
                    <w14:schemeClr w14:val="tx1"/>
                  </w14:solidFill>
                </w14:textFill>
              </w:rPr>
              <w:t>4</w:t>
            </w: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）拟配备的专业监理人员专业结构不合理、经验欠缺的，得1分。</w:t>
            </w:r>
          </w:p>
          <w:p w14:paraId="6A17ED01">
            <w:pPr>
              <w:pStyle w:val="51"/>
              <w:keepLines/>
              <w:spacing w:line="240" w:lineRule="auto"/>
              <w:rPr>
                <w:rFonts w:hint="eastAsia" w:ascii="仿宋" w:hAnsi="仿宋" w:eastAsia="仿宋" w:cs="仿宋"/>
                <w:b/>
                <w:bCs/>
                <w:snapToGrid w:val="0"/>
                <w:color w:val="000000" w:themeColor="text1"/>
                <w:kern w:val="21"/>
                <w:sz w:val="21"/>
                <w:szCs w:val="21"/>
                <w:lang w:eastAsia="zh-CN"/>
                <w14:textFill>
                  <w14:solidFill>
                    <w14:schemeClr w14:val="tx1"/>
                  </w14:solidFill>
                </w14:textFill>
              </w:rPr>
            </w:pP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w:t>
            </w:r>
            <w:r>
              <w:rPr>
                <w:rFonts w:hint="eastAsia" w:ascii="仿宋" w:hAnsi="仿宋" w:eastAsia="仿宋" w:cs="仿宋"/>
                <w:b w:val="0"/>
                <w:bCs w:val="0"/>
                <w:snapToGrid w:val="0"/>
                <w:color w:val="000000" w:themeColor="text1"/>
                <w:kern w:val="21"/>
                <w:sz w:val="21"/>
                <w:szCs w:val="21"/>
                <w:lang w:val="en-US" w:eastAsia="zh-CN"/>
                <w14:textFill>
                  <w14:solidFill>
                    <w14:schemeClr w14:val="tx1"/>
                  </w14:solidFill>
                </w14:textFill>
              </w:rPr>
              <w:t>5</w:t>
            </w:r>
            <w:r>
              <w:rPr>
                <w:rFonts w:hint="eastAsia" w:ascii="仿宋" w:hAnsi="仿宋" w:eastAsia="仿宋" w:cs="仿宋"/>
                <w:b w:val="0"/>
                <w:bCs w:val="0"/>
                <w:snapToGrid w:val="0"/>
                <w:color w:val="000000" w:themeColor="text1"/>
                <w:kern w:val="21"/>
                <w:sz w:val="21"/>
                <w:szCs w:val="21"/>
                <w:lang w:eastAsia="zh-CN"/>
                <w14:textFill>
                  <w14:solidFill>
                    <w14:schemeClr w14:val="tx1"/>
                  </w14:solidFill>
                </w14:textFill>
              </w:rPr>
              <w:t>）未提供相关内容的不得分。</w:t>
            </w:r>
          </w:p>
        </w:tc>
      </w:tr>
    </w:tbl>
    <w:p w14:paraId="466A20EB">
      <w:pPr>
        <w:pStyle w:val="126"/>
        <w:keepNext w:val="0"/>
        <w:keepLines w:val="0"/>
        <w:spacing w:before="312" w:beforeLines="100" w:line="360" w:lineRule="auto"/>
        <w:outlineLvl w:val="1"/>
        <w:rPr>
          <w:rFonts w:hint="eastAsia" w:ascii="仿宋" w:hAnsi="仿宋" w:eastAsia="仿宋" w:cs="仿宋"/>
          <w:b/>
          <w:bCs/>
          <w:color w:val="000000" w:themeColor="text1"/>
          <w14:textFill>
            <w14:solidFill>
              <w14:schemeClr w14:val="tx1"/>
            </w14:solidFill>
          </w14:textFill>
        </w:rPr>
      </w:pPr>
      <w:bookmarkStart w:id="497" w:name="_Toc46924605"/>
      <w:bookmarkStart w:id="498" w:name="_Toc12363"/>
      <w:r>
        <w:rPr>
          <w:rFonts w:hint="eastAsia" w:ascii="仿宋" w:hAnsi="仿宋" w:eastAsia="仿宋" w:cs="仿宋"/>
          <w:b/>
          <w:bCs/>
          <w:color w:val="000000" w:themeColor="text1"/>
          <w14:textFill>
            <w14:solidFill>
              <w14:schemeClr w14:val="tx1"/>
            </w14:solidFill>
          </w14:textFill>
        </w:rPr>
        <w:t>1、评审原则及方法</w:t>
      </w:r>
      <w:bookmarkEnd w:id="497"/>
      <w:bookmarkEnd w:id="498"/>
    </w:p>
    <w:p w14:paraId="7F532E44">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1.1评审原则：磋商小组成员应当按照客观、公正、审慎的原则，根据磋商文件规定的评审程序、评审方法和评审标准进行独立评审。未实质性响应竞争性磋商文件的响应文件按无效响应处理，磋商小组将告知提交响应文件的供应商，供应商不得再继续参加磋商。</w:t>
      </w:r>
    </w:p>
    <w:p w14:paraId="06D7EE86">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1.2评审方法：综合评分法，是指响应文件满足磋商文件全部实质性要求且按评审因素的量化指标评审得分最高的供应商为成交候选供应商的评审方法。</w:t>
      </w:r>
    </w:p>
    <w:p w14:paraId="4B8ED52C">
      <w:pPr>
        <w:pStyle w:val="126"/>
        <w:keepNext w:val="0"/>
        <w:keepLines w:val="0"/>
        <w:spacing w:line="360" w:lineRule="auto"/>
        <w:outlineLvl w:val="1"/>
        <w:rPr>
          <w:rFonts w:hint="eastAsia" w:ascii="仿宋" w:hAnsi="仿宋" w:eastAsia="仿宋" w:cs="仿宋"/>
          <w:b/>
          <w:bCs/>
          <w:color w:val="000000" w:themeColor="text1"/>
          <w14:textFill>
            <w14:solidFill>
              <w14:schemeClr w14:val="tx1"/>
            </w14:solidFill>
          </w14:textFill>
        </w:rPr>
      </w:pPr>
      <w:bookmarkStart w:id="499" w:name="_Toc29693"/>
      <w:bookmarkStart w:id="500" w:name="_Toc46924606"/>
      <w:r>
        <w:rPr>
          <w:rFonts w:hint="eastAsia" w:ascii="仿宋" w:hAnsi="仿宋" w:eastAsia="仿宋" w:cs="仿宋"/>
          <w:b/>
          <w:bCs/>
          <w:color w:val="000000" w:themeColor="text1"/>
          <w14:textFill>
            <w14:solidFill>
              <w14:schemeClr w14:val="tx1"/>
            </w14:solidFill>
          </w14:textFill>
        </w:rPr>
        <w:t>2、实质性评审</w:t>
      </w:r>
      <w:bookmarkEnd w:id="499"/>
      <w:bookmarkEnd w:id="500"/>
    </w:p>
    <w:p w14:paraId="639F5A56">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2.1磋商小组依据竞争性磋商文件第</w:t>
      </w:r>
      <w:r>
        <w:rPr>
          <w:rFonts w:hint="eastAsia" w:ascii="仿宋" w:hAnsi="仿宋" w:eastAsia="仿宋" w:cs="仿宋"/>
          <w:color w:val="000000" w:themeColor="text1"/>
          <w:szCs w:val="21"/>
          <w:lang w:eastAsia="zh-CN"/>
          <w14:textFill>
            <w14:solidFill>
              <w14:schemeClr w14:val="tx1"/>
            </w14:solidFill>
          </w14:textFill>
        </w:rPr>
        <w:t>五</w:t>
      </w:r>
      <w:r>
        <w:rPr>
          <w:rFonts w:hint="eastAsia" w:ascii="仿宋" w:hAnsi="仿宋" w:eastAsia="仿宋" w:cs="仿宋"/>
          <w:color w:val="000000" w:themeColor="text1"/>
          <w:szCs w:val="21"/>
          <w14:textFill>
            <w14:solidFill>
              <w14:schemeClr w14:val="tx1"/>
            </w14:solidFill>
          </w14:textFill>
        </w:rPr>
        <w:t>章《评审方法》“2.1实质性评审标准”规定的内容，对供应商的响应文件进行审查，以确定供应商是否具备参加本项目竞争性磋商采购活动的资格，未实质性响应竞争性磋商文件的响应文件按无效响应处理，磋商小组将告知提交响应文件的供应商，供应商不得再继续参加磋商。</w:t>
      </w:r>
    </w:p>
    <w:p w14:paraId="2BF07C25">
      <w:pPr>
        <w:pStyle w:val="126"/>
        <w:keepNext w:val="0"/>
        <w:keepLines w:val="0"/>
        <w:spacing w:line="360" w:lineRule="auto"/>
        <w:outlineLvl w:val="1"/>
        <w:rPr>
          <w:rFonts w:hint="eastAsia" w:ascii="仿宋" w:hAnsi="仿宋" w:eastAsia="仿宋" w:cs="仿宋"/>
          <w:b/>
          <w:bCs/>
          <w:color w:val="000000" w:themeColor="text1"/>
          <w14:textFill>
            <w14:solidFill>
              <w14:schemeClr w14:val="tx1"/>
            </w14:solidFill>
          </w14:textFill>
        </w:rPr>
      </w:pPr>
      <w:bookmarkStart w:id="501" w:name="_Toc18619"/>
      <w:bookmarkStart w:id="502" w:name="_Toc46924607"/>
      <w:r>
        <w:rPr>
          <w:rFonts w:hint="eastAsia" w:ascii="仿宋" w:hAnsi="仿宋" w:eastAsia="仿宋" w:cs="仿宋"/>
          <w:b/>
          <w:bCs/>
          <w:color w:val="000000" w:themeColor="text1"/>
          <w14:textFill>
            <w14:solidFill>
              <w14:schemeClr w14:val="tx1"/>
            </w14:solidFill>
          </w14:textFill>
        </w:rPr>
        <w:t>3、磋商及最后报价</w:t>
      </w:r>
      <w:bookmarkEnd w:id="501"/>
      <w:bookmarkEnd w:id="502"/>
    </w:p>
    <w:p w14:paraId="3F61483D">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66BE157">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3.2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C1C443C">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3.3磋商小组所有成员集中与单一供应商分别进行磋商（磋商顺序按照签到顺序），并给予所有参加磋商的供应商平等的磋商机会。在磋商过程中，磋商小组可以根据磋商文件和磋商情况实质性变动采购需求中的技术、服务要求以及合同草案条款，但不得变动磋商文件中的其他内容。实质性变动的内容，须经采购人代表确认。</w:t>
      </w:r>
    </w:p>
    <w:p w14:paraId="17D7163B">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3.4对磋商文件作出的实质性变动是磋商文件的有效组成部分，磋商小组将及时以书面形式同时通知所有参加磋商的供应商。</w:t>
      </w:r>
    </w:p>
    <w:p w14:paraId="78B42E95">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3.5磋商结束后，磋商小组将要求所有实质性响应的供应商在规定时间内提交最后报价，提交最后报价的供应商不得少于3家，最后报价应由法定代表人或其委托代理人签字，在规定的时间统一密封递交，最后报价是供应商响应文件的有效组成部分。在提交最后报价之前，供应商可以根据磋商情况退出磋商，其磋商保证金按规定的时间予以退还。</w:t>
      </w:r>
    </w:p>
    <w:p w14:paraId="1F55C06A">
      <w:pPr>
        <w:pStyle w:val="126"/>
        <w:keepNext w:val="0"/>
        <w:keepLines w:val="0"/>
        <w:spacing w:line="360" w:lineRule="auto"/>
        <w:outlineLvl w:val="1"/>
        <w:rPr>
          <w:rFonts w:hint="eastAsia" w:ascii="仿宋" w:hAnsi="仿宋" w:eastAsia="仿宋" w:cs="仿宋"/>
          <w:b/>
          <w:bCs/>
          <w:color w:val="000000" w:themeColor="text1"/>
          <w14:textFill>
            <w14:solidFill>
              <w14:schemeClr w14:val="tx1"/>
            </w14:solidFill>
          </w14:textFill>
        </w:rPr>
      </w:pPr>
      <w:bookmarkStart w:id="503" w:name="_Toc1074"/>
      <w:bookmarkStart w:id="504" w:name="_Toc46924608"/>
      <w:r>
        <w:rPr>
          <w:rFonts w:hint="eastAsia" w:ascii="仿宋" w:hAnsi="仿宋" w:eastAsia="仿宋" w:cs="仿宋"/>
          <w:b/>
          <w:bCs/>
          <w:color w:val="000000" w:themeColor="text1"/>
          <w14:textFill>
            <w14:solidFill>
              <w14:schemeClr w14:val="tx1"/>
            </w14:solidFill>
          </w14:textFill>
        </w:rPr>
        <w:t>4、详细评审及统分原则</w:t>
      </w:r>
      <w:bookmarkEnd w:id="503"/>
      <w:bookmarkEnd w:id="504"/>
    </w:p>
    <w:p w14:paraId="6D75FE4F">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4.1磋商小组各成员将按照竞争性磋商文件中规定的详细评审标准独立对每个有效响应的文件进行评价、打分，然后汇总每个供应商每项评分因素的得分，最终按以下公式计算出各供应商的评审得分。</w:t>
      </w:r>
    </w:p>
    <w:p w14:paraId="4C1C2E65">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评审得分=F1＋F2＋F3</w:t>
      </w:r>
    </w:p>
    <w:p w14:paraId="66DBCE46">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其中：F1、F2、F3分别为价格评分、技术部分评分、商务部分评分3项评审因素的汇总得分。</w:t>
      </w:r>
    </w:p>
    <w:p w14:paraId="1DF8E639">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4.2磋商小组成员要依法独立审查，并对审查意见承担个人责任。磋商小组成员对需要共同认定的事项存在争议的，按照少数服从多数的原则做出结论。持不同意见的磋商小组成员应当在评审报告上签署不同意见并说明理由，否则视为同意。</w:t>
      </w:r>
    </w:p>
    <w:p w14:paraId="6CF45AA8">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4.3磋商小组对供应商的价格分等客观评分项的评分应当一致，对其他需要借助专业知识评判的主观评分项，应当严格按照评分细则公正评分。</w:t>
      </w:r>
    </w:p>
    <w:p w14:paraId="05A7ABDF">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4.4供应商各项评分因素得分为该项因素各成员评分的算术平均值（保留小数点后两位），小数点后第三位“四舍五入”。</w:t>
      </w:r>
    </w:p>
    <w:p w14:paraId="16C23146">
      <w:pPr>
        <w:pStyle w:val="126"/>
        <w:keepNext w:val="0"/>
        <w:keepLines w:val="0"/>
        <w:spacing w:line="360" w:lineRule="auto"/>
        <w:outlineLvl w:val="1"/>
        <w:rPr>
          <w:rFonts w:hint="eastAsia" w:ascii="仿宋" w:hAnsi="仿宋" w:eastAsia="仿宋" w:cs="仿宋"/>
          <w:b/>
          <w:bCs/>
          <w:color w:val="000000" w:themeColor="text1"/>
          <w14:textFill>
            <w14:solidFill>
              <w14:schemeClr w14:val="tx1"/>
            </w14:solidFill>
          </w14:textFill>
        </w:rPr>
      </w:pPr>
      <w:bookmarkStart w:id="505" w:name="_Toc46924609"/>
      <w:bookmarkStart w:id="506" w:name="_Toc6440"/>
      <w:r>
        <w:rPr>
          <w:rFonts w:hint="eastAsia" w:ascii="仿宋" w:hAnsi="仿宋" w:eastAsia="仿宋" w:cs="仿宋"/>
          <w:b/>
          <w:bCs/>
          <w:color w:val="000000" w:themeColor="text1"/>
          <w14:textFill>
            <w14:solidFill>
              <w14:schemeClr w14:val="tx1"/>
            </w14:solidFill>
          </w14:textFill>
        </w:rPr>
        <w:t>5、推荐成交候选供应商及确定成交供应商</w:t>
      </w:r>
      <w:bookmarkEnd w:id="505"/>
      <w:bookmarkEnd w:id="506"/>
    </w:p>
    <w:p w14:paraId="7FAC838B">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5.1磋商小组根据综合评分情况，按照评审得分由高到低顺序推荐3名以上成交候选供应商，并编写评审报告。评审得分相同的，按照最后报价（符合中小企业划分标准或残疾人福利性单位或监狱企业用扣除后的价格参与评审）由低到高的顺序推荐。评审得分且最后报价相同的，按照服务方案得分高低顺序推荐。</w:t>
      </w:r>
    </w:p>
    <w:p w14:paraId="6C46BBA5">
      <w:pPr>
        <w:spacing w:line="360" w:lineRule="auto"/>
        <w:ind w:firstLine="420" w:firstLineChars="200"/>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5.2采购人从评审报告提出的成交候选供应商中，按照排序由高到低的原则确定成交供应商。</w:t>
      </w:r>
    </w:p>
    <w:p w14:paraId="04ED0A5C">
      <w:pP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br w:type="page"/>
      </w:r>
    </w:p>
    <w:p w14:paraId="6D7D0DA6">
      <w:pPr>
        <w:numPr>
          <w:ilvl w:val="0"/>
          <w:numId w:val="6"/>
        </w:numPr>
        <w:jc w:val="center"/>
        <w:outlineLvl w:val="0"/>
        <w:rPr>
          <w:rFonts w:hint="eastAsia" w:ascii="仿宋" w:hAnsi="仿宋" w:eastAsia="仿宋" w:cs="仿宋"/>
          <w:b/>
          <w:bCs/>
          <w:color w:val="000000" w:themeColor="text1"/>
          <w:kern w:val="1"/>
          <w:sz w:val="32"/>
          <w:szCs w:val="32"/>
          <w:lang w:val="en-US" w:bidi="zh-CN"/>
          <w14:textFill>
            <w14:solidFill>
              <w14:schemeClr w14:val="tx1"/>
            </w14:solidFill>
          </w14:textFill>
        </w:rPr>
      </w:pPr>
      <w:bookmarkStart w:id="507" w:name="_Toc8884_WPSOffice_Level1"/>
      <w:r>
        <w:rPr>
          <w:rFonts w:hint="eastAsia" w:ascii="仿宋" w:hAnsi="仿宋" w:eastAsia="仿宋" w:cs="仿宋"/>
          <w:b/>
          <w:bCs/>
          <w:color w:val="000000" w:themeColor="text1"/>
          <w:kern w:val="1"/>
          <w:sz w:val="32"/>
          <w:szCs w:val="32"/>
          <w:lang w:val="en-US" w:bidi="zh-CN"/>
          <w14:textFill>
            <w14:solidFill>
              <w14:schemeClr w14:val="tx1"/>
            </w14:solidFill>
          </w14:textFill>
        </w:rPr>
        <w:t xml:space="preserve">  </w:t>
      </w:r>
      <w:bookmarkStart w:id="508" w:name="_Toc26253"/>
      <w:r>
        <w:rPr>
          <w:rFonts w:hint="eastAsia" w:ascii="仿宋" w:hAnsi="仿宋" w:eastAsia="仿宋" w:cs="仿宋"/>
          <w:b/>
          <w:bCs/>
          <w:color w:val="000000" w:themeColor="text1"/>
          <w:kern w:val="1"/>
          <w:sz w:val="32"/>
          <w:szCs w:val="32"/>
          <w:lang w:val="en-US" w:bidi="zh-CN"/>
          <w14:textFill>
            <w14:solidFill>
              <w14:schemeClr w14:val="tx1"/>
            </w14:solidFill>
          </w14:textFill>
        </w:rPr>
        <w:t>服务需求</w:t>
      </w:r>
      <w:bookmarkEnd w:id="508"/>
    </w:p>
    <w:p w14:paraId="299153C2">
      <w:pPr>
        <w:numPr>
          <w:ilvl w:val="0"/>
          <w:numId w:val="0"/>
        </w:numPr>
        <w:ind w:firstLine="643" w:firstLineChars="200"/>
        <w:jc w:val="both"/>
        <w:rPr>
          <w:rFonts w:hint="eastAsia" w:ascii="仿宋" w:hAnsi="仿宋" w:eastAsia="仿宋" w:cs="仿宋"/>
          <w:b/>
          <w:bCs/>
          <w:color w:val="000000" w:themeColor="text1"/>
          <w:kern w:val="1"/>
          <w:sz w:val="32"/>
          <w:szCs w:val="32"/>
          <w:lang w:val="zh-CN" w:bidi="zh-CN"/>
          <w14:textFill>
            <w14:solidFill>
              <w14:schemeClr w14:val="tx1"/>
            </w14:solidFill>
          </w14:textFill>
        </w:rPr>
      </w:pPr>
    </w:p>
    <w:p w14:paraId="1F9295A4">
      <w:pPr>
        <w:numPr>
          <w:ilvl w:val="0"/>
          <w:numId w:val="0"/>
        </w:numPr>
        <w:ind w:firstLine="560" w:firstLineChars="200"/>
        <w:jc w:val="both"/>
        <w:rPr>
          <w:rFonts w:hint="eastAsia" w:ascii="仿宋" w:hAnsi="仿宋" w:eastAsia="仿宋" w:cs="仿宋"/>
          <w:b w:val="0"/>
          <w:bCs w:val="0"/>
          <w:color w:val="000000" w:themeColor="text1"/>
          <w:kern w:val="1"/>
          <w:sz w:val="28"/>
          <w:szCs w:val="28"/>
          <w:lang w:val="zh-CN" w:bidi="zh-CN"/>
          <w14:textFill>
            <w14:solidFill>
              <w14:schemeClr w14:val="tx1"/>
            </w14:solidFill>
          </w14:textFill>
        </w:rPr>
      </w:pP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对国家重点生态功能区景洪市南昆河流域农村生活污水治理工程进行全过程监理，完成本项目建设施工及保修期全过程监理服务工作，包括建设工程委托监理合同范围内的工程施工质量、进度、投资控制，安全文明施工管理、合同管理、资料管理，组织协调（三控三管一协调）等的全面监理工作。</w:t>
      </w:r>
    </w:p>
    <w:p w14:paraId="71B4428F">
      <w:pPr>
        <w:numPr>
          <w:ilvl w:val="0"/>
          <w:numId w:val="0"/>
        </w:numPr>
        <w:ind w:firstLine="560" w:firstLineChars="200"/>
        <w:jc w:val="both"/>
        <w:rPr>
          <w:rFonts w:hint="eastAsia" w:ascii="仿宋" w:hAnsi="仿宋" w:eastAsia="仿宋" w:cs="仿宋"/>
          <w:b w:val="0"/>
          <w:bCs w:val="0"/>
          <w:color w:val="000000" w:themeColor="text1"/>
          <w:kern w:val="1"/>
          <w:sz w:val="28"/>
          <w:szCs w:val="28"/>
          <w:lang w:val="zh-CN" w:bidi="zh-CN"/>
          <w14:textFill>
            <w14:solidFill>
              <w14:schemeClr w14:val="tx1"/>
            </w14:solidFill>
          </w14:textFill>
        </w:rPr>
      </w:pP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w:t>
      </w:r>
      <w:r>
        <w:rPr>
          <w:rFonts w:hint="eastAsia" w:ascii="仿宋" w:hAnsi="仿宋" w:eastAsia="仿宋" w:cs="仿宋"/>
          <w:b w:val="0"/>
          <w:bCs w:val="0"/>
          <w:color w:val="000000" w:themeColor="text1"/>
          <w:kern w:val="1"/>
          <w:sz w:val="28"/>
          <w:szCs w:val="28"/>
          <w:lang w:val="en-US" w:bidi="zh-CN"/>
          <w14:textFill>
            <w14:solidFill>
              <w14:schemeClr w14:val="tx1"/>
            </w14:solidFill>
          </w14:textFill>
        </w:rPr>
        <w:t>1</w:t>
      </w: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西双版纳州景洪市大渡岗乡：新建DN300钢带增强聚乙烯螺旋波纹管污水收集管道5785.66米、新建DN200钢带增强聚乙烯螺旋波纹管污水收集管道9233.96米、新建400*600mm截污沟2285.85米、新建300*500mm截污沟3897.17米、新建Φ110PVC-U接户管23908.50米、新建Φ700污水检查井429座、新建Φ700污水沉泥井215座、新建20m3/d氧化塘6座、新建25m3/d氧化塘6座、新建30m3/d氧化塘3座、新建35m3/d氧化塘2座、新建100m3/d A2/O一体化污水处理站1座、新建玻璃钢化粪池302座。</w:t>
      </w:r>
    </w:p>
    <w:p w14:paraId="5664F25D">
      <w:pPr>
        <w:numPr>
          <w:ilvl w:val="0"/>
          <w:numId w:val="0"/>
        </w:numPr>
        <w:ind w:firstLine="560" w:firstLineChars="200"/>
        <w:jc w:val="both"/>
        <w:rPr>
          <w:rFonts w:hint="eastAsia" w:ascii="仿宋" w:hAnsi="仿宋" w:eastAsia="仿宋" w:cs="仿宋"/>
          <w:b/>
          <w:bCs/>
          <w:color w:val="000000" w:themeColor="text1"/>
          <w:kern w:val="1"/>
          <w:sz w:val="32"/>
          <w:szCs w:val="32"/>
          <w:lang w:val="zh-CN" w:bidi="zh-CN"/>
          <w14:textFill>
            <w14:solidFill>
              <w14:schemeClr w14:val="tx1"/>
            </w14:solidFill>
          </w14:textFill>
        </w:rPr>
      </w:pP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w:t>
      </w:r>
      <w:r>
        <w:rPr>
          <w:rFonts w:hint="eastAsia" w:ascii="仿宋" w:hAnsi="仿宋" w:eastAsia="仿宋" w:cs="仿宋"/>
          <w:b w:val="0"/>
          <w:bCs w:val="0"/>
          <w:color w:val="000000" w:themeColor="text1"/>
          <w:kern w:val="1"/>
          <w:sz w:val="28"/>
          <w:szCs w:val="28"/>
          <w:lang w:val="en-US" w:eastAsia="zh-CN" w:bidi="zh-CN"/>
          <w14:textFill>
            <w14:solidFill>
              <w14:schemeClr w14:val="tx1"/>
            </w14:solidFill>
          </w14:textFill>
        </w:rPr>
        <w:t>2</w:t>
      </w: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西双版纳州景洪市景讷乡：新建DN300钢带增强聚乙烯螺旋波纹管污水收集管道6438.75米、新建DN200钢带增强聚乙烯螺旋波纹管污水收集管道14007.13米、新建400*600mm截污沟2441.52米、新建300*500mm截污沟5221.88米、新建Φ110PVC-U接户管19899米、新建Φ700污水检查井584座、新建Φ700污水沉泥井291座、新建20m3/d氧化塘9座、新建25m3/d氧化塘</w:t>
      </w:r>
      <w:r>
        <w:rPr>
          <w:rFonts w:hint="eastAsia" w:ascii="仿宋" w:hAnsi="仿宋" w:eastAsia="仿宋" w:cs="仿宋"/>
          <w:b w:val="0"/>
          <w:bCs w:val="0"/>
          <w:color w:val="000000" w:themeColor="text1"/>
          <w:kern w:val="1"/>
          <w:sz w:val="28"/>
          <w:szCs w:val="28"/>
          <w:lang w:val="en-US" w:eastAsia="zh-CN" w:bidi="zh-CN"/>
          <w14:textFill>
            <w14:solidFill>
              <w14:schemeClr w14:val="tx1"/>
            </w14:solidFill>
          </w14:textFill>
        </w:rPr>
        <w:t>5</w:t>
      </w: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座、新建30m3/d氧化塘</w:t>
      </w:r>
      <w:r>
        <w:rPr>
          <w:rFonts w:hint="eastAsia" w:ascii="仿宋" w:hAnsi="仿宋" w:eastAsia="仿宋" w:cs="仿宋"/>
          <w:b w:val="0"/>
          <w:bCs w:val="0"/>
          <w:color w:val="000000" w:themeColor="text1"/>
          <w:kern w:val="1"/>
          <w:sz w:val="28"/>
          <w:szCs w:val="28"/>
          <w:lang w:val="en-US" w:eastAsia="zh-CN" w:bidi="zh-CN"/>
          <w14:textFill>
            <w14:solidFill>
              <w14:schemeClr w14:val="tx1"/>
            </w14:solidFill>
          </w14:textFill>
        </w:rPr>
        <w:t>3</w:t>
      </w:r>
      <w:r>
        <w:rPr>
          <w:rFonts w:hint="eastAsia" w:ascii="仿宋" w:hAnsi="仿宋" w:eastAsia="仿宋" w:cs="仿宋"/>
          <w:b w:val="0"/>
          <w:bCs w:val="0"/>
          <w:color w:val="000000" w:themeColor="text1"/>
          <w:kern w:val="1"/>
          <w:sz w:val="28"/>
          <w:szCs w:val="28"/>
          <w:lang w:val="zh-CN" w:bidi="zh-CN"/>
          <w14:textFill>
            <w14:solidFill>
              <w14:schemeClr w14:val="tx1"/>
            </w14:solidFill>
          </w14:textFill>
        </w:rPr>
        <w:t>座、新建55m3/d A2/O一体化污水处理站3座、新建玻璃钢化粪池101座。</w:t>
      </w:r>
      <w:r>
        <w:rPr>
          <w:rFonts w:hint="eastAsia" w:ascii="仿宋" w:hAnsi="仿宋" w:eastAsia="仿宋" w:cs="仿宋"/>
          <w:b/>
          <w:bCs/>
          <w:color w:val="000000" w:themeColor="text1"/>
          <w:kern w:val="1"/>
          <w:sz w:val="32"/>
          <w:szCs w:val="32"/>
          <w:lang w:val="zh-CN" w:bidi="zh-CN"/>
          <w14:textFill>
            <w14:solidFill>
              <w14:schemeClr w14:val="tx1"/>
            </w14:solidFill>
          </w14:textFill>
        </w:rPr>
        <w:br w:type="page"/>
      </w:r>
    </w:p>
    <w:p w14:paraId="2AB0C195">
      <w:pPr>
        <w:pStyle w:val="36"/>
        <w:tabs>
          <w:tab w:val="center" w:pos="2185"/>
        </w:tabs>
        <w:ind w:firstLine="0" w:firstLineChars="0"/>
        <w:jc w:val="center"/>
        <w:rPr>
          <w:rFonts w:hint="eastAsia" w:ascii="仿宋" w:hAnsi="仿宋" w:eastAsia="仿宋" w:cs="仿宋"/>
          <w:color w:val="000000" w:themeColor="text1"/>
          <w:kern w:val="1"/>
          <w:sz w:val="24"/>
          <w:lang w:val="zh-CN" w:bidi="zh-CN"/>
          <w14:textFill>
            <w14:solidFill>
              <w14:schemeClr w14:val="tx1"/>
            </w14:solidFill>
          </w14:textFill>
        </w:rPr>
      </w:pPr>
      <w:r>
        <w:rPr>
          <w:rFonts w:hint="eastAsia" w:ascii="仿宋" w:hAnsi="仿宋" w:eastAsia="仿宋" w:cs="仿宋"/>
          <w:b/>
          <w:bCs/>
          <w:color w:val="000000" w:themeColor="text1"/>
          <w:kern w:val="1"/>
          <w:sz w:val="32"/>
          <w:szCs w:val="32"/>
          <w:lang w:val="zh-CN" w:bidi="zh-CN"/>
          <w14:textFill>
            <w14:solidFill>
              <w14:schemeClr w14:val="tx1"/>
            </w14:solidFill>
          </w14:textFill>
        </w:rPr>
        <w:t>二次报</w:t>
      </w:r>
      <w:r>
        <w:rPr>
          <w:rFonts w:hint="eastAsia" w:ascii="仿宋" w:hAnsi="仿宋" w:eastAsia="仿宋" w:cs="仿宋"/>
          <w:b/>
          <w:bCs/>
          <w:color w:val="000000" w:themeColor="text1"/>
          <w:sz w:val="32"/>
          <w:szCs w:val="32"/>
          <w14:textFill>
            <w14:solidFill>
              <w14:schemeClr w14:val="tx1"/>
            </w14:solidFill>
          </w14:textFill>
        </w:rPr>
        <w:t>价表</w:t>
      </w:r>
    </w:p>
    <w:p w14:paraId="4268BD4C">
      <w:pPr>
        <w:pStyle w:val="36"/>
        <w:tabs>
          <w:tab w:val="center" w:pos="2185"/>
        </w:tabs>
        <w:ind w:firstLine="0" w:firstLineChars="0"/>
        <w:rPr>
          <w:rFonts w:hint="eastAsia" w:ascii="仿宋" w:hAnsi="仿宋" w:eastAsia="仿宋" w:cs="仿宋"/>
          <w:color w:val="000000" w:themeColor="text1"/>
          <w:kern w:val="1"/>
          <w:sz w:val="24"/>
          <w:lang w:bidi="zh-CN"/>
          <w14:textFill>
            <w14:solidFill>
              <w14:schemeClr w14:val="tx1"/>
            </w14:solidFill>
          </w14:textFill>
        </w:rPr>
      </w:pPr>
      <w:r>
        <w:rPr>
          <w:rFonts w:hint="eastAsia" w:ascii="仿宋" w:hAnsi="仿宋" w:eastAsia="仿宋" w:cs="仿宋"/>
          <w:color w:val="000000" w:themeColor="text1"/>
          <w:kern w:val="1"/>
          <w:sz w:val="24"/>
          <w:lang w:val="zh-CN" w:bidi="zh-CN"/>
          <w14:textFill>
            <w14:solidFill>
              <w14:schemeClr w14:val="tx1"/>
            </w14:solidFill>
          </w14:textFill>
        </w:rPr>
        <w:t>项目名称：</w:t>
      </w:r>
      <w:bookmarkEnd w:id="507"/>
      <w:r>
        <w:rPr>
          <w:rFonts w:hint="eastAsia" w:ascii="仿宋" w:hAnsi="仿宋" w:eastAsia="仿宋" w:cs="仿宋"/>
          <w:color w:val="000000" w:themeColor="text1"/>
          <w:kern w:val="1"/>
          <w:sz w:val="24"/>
          <w:lang w:val="zh-CN" w:bidi="zh-CN"/>
          <w14:textFill>
            <w14:solidFill>
              <w14:schemeClr w14:val="tx1"/>
            </w14:solidFill>
          </w14:textFill>
        </w:rPr>
        <w:t>国家重点生态功能区景洪市南昆河流域农村生活污水治理工程监理服务</w:t>
      </w:r>
      <w:r>
        <w:rPr>
          <w:rFonts w:hint="eastAsia" w:ascii="仿宋" w:hAnsi="仿宋" w:eastAsia="仿宋" w:cs="仿宋"/>
          <w:color w:val="000000" w:themeColor="text1"/>
          <w:kern w:val="1"/>
          <w:sz w:val="24"/>
          <w:lang w:bidi="zh-CN"/>
          <w14:textFill>
            <w14:solidFill>
              <w14:schemeClr w14:val="tx1"/>
            </w14:solidFill>
          </w14:textFill>
        </w:rPr>
        <w:t xml:space="preserve">                                 </w:t>
      </w:r>
    </w:p>
    <w:p w14:paraId="55628719">
      <w:pPr>
        <w:pStyle w:val="36"/>
        <w:tabs>
          <w:tab w:val="center" w:pos="2185"/>
        </w:tabs>
        <w:ind w:firstLine="0" w:firstLineChars="0"/>
        <w:rPr>
          <w:rFonts w:hint="eastAsia" w:ascii="仿宋" w:hAnsi="仿宋" w:eastAsia="仿宋" w:cs="仿宋"/>
          <w:color w:val="auto"/>
          <w:kern w:val="1"/>
          <w:sz w:val="24"/>
          <w:lang w:bidi="zh-CN"/>
        </w:rPr>
      </w:pPr>
      <w:r>
        <w:rPr>
          <w:rFonts w:hint="eastAsia" w:ascii="仿宋" w:hAnsi="仿宋" w:eastAsia="仿宋" w:cs="仿宋"/>
          <w:color w:val="auto"/>
          <w:kern w:val="1"/>
          <w:sz w:val="24"/>
          <w:lang w:val="zh-CN" w:bidi="zh-CN"/>
        </w:rPr>
        <w:t>项目编号：</w:t>
      </w:r>
      <w:r>
        <w:rPr>
          <w:rFonts w:hint="eastAsia" w:ascii="仿宋" w:hAnsi="仿宋" w:eastAsia="仿宋" w:cs="仿宋"/>
          <w:color w:val="auto"/>
          <w:kern w:val="1"/>
          <w:sz w:val="24"/>
          <w:lang w:bidi="zh-CN"/>
        </w:rPr>
        <w:t xml:space="preserve">YNZZBN202503-08 </w:t>
      </w:r>
    </w:p>
    <w:tbl>
      <w:tblPr>
        <w:tblStyle w:val="37"/>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910"/>
        <w:gridCol w:w="6967"/>
      </w:tblGrid>
      <w:tr w14:paraId="6ABD8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663" w:type="dxa"/>
            <w:vAlign w:val="center"/>
          </w:tcPr>
          <w:p w14:paraId="10BF5611">
            <w:pPr>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序号</w:t>
            </w:r>
          </w:p>
        </w:tc>
        <w:tc>
          <w:tcPr>
            <w:tcW w:w="1910" w:type="dxa"/>
            <w:vAlign w:val="center"/>
          </w:tcPr>
          <w:p w14:paraId="4A8438F8">
            <w:pPr>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项目名称</w:t>
            </w:r>
          </w:p>
        </w:tc>
        <w:tc>
          <w:tcPr>
            <w:tcW w:w="6967" w:type="dxa"/>
            <w:vAlign w:val="center"/>
          </w:tcPr>
          <w:p w14:paraId="6DCD71CD">
            <w:pPr>
              <w:spacing w:line="360" w:lineRule="auto"/>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 xml:space="preserve">  </w:t>
            </w:r>
          </w:p>
        </w:tc>
      </w:tr>
      <w:tr w14:paraId="5904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663" w:type="dxa"/>
            <w:vMerge w:val="restart"/>
            <w:vAlign w:val="center"/>
          </w:tcPr>
          <w:p w14:paraId="3E980DC0">
            <w:pPr>
              <w:spacing w:line="360" w:lineRule="auto"/>
              <w:jc w:val="center"/>
              <w:rPr>
                <w:rFonts w:hint="eastAsia" w:ascii="仿宋" w:hAnsi="仿宋" w:eastAsia="仿宋" w:cs="仿宋"/>
                <w:b/>
                <w:bCs/>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1</w:t>
            </w:r>
          </w:p>
        </w:tc>
        <w:tc>
          <w:tcPr>
            <w:tcW w:w="1910" w:type="dxa"/>
            <w:vMerge w:val="restart"/>
            <w:vAlign w:val="center"/>
          </w:tcPr>
          <w:p w14:paraId="5C67B0DD">
            <w:pPr>
              <w:spacing w:line="360" w:lineRule="auto"/>
              <w:jc w:val="center"/>
              <w:rPr>
                <w:rFonts w:hint="eastAsia" w:ascii="仿宋" w:hAnsi="仿宋" w:eastAsia="仿宋" w:cs="仿宋"/>
                <w:b/>
                <w:bCs/>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二次报价（元）</w:t>
            </w:r>
          </w:p>
        </w:tc>
        <w:tc>
          <w:tcPr>
            <w:tcW w:w="6967" w:type="dxa"/>
            <w:vAlign w:val="center"/>
          </w:tcPr>
          <w:p w14:paraId="353D4BD0">
            <w:pPr>
              <w:spacing w:line="360" w:lineRule="auto"/>
              <w:jc w:val="left"/>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小写：</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 xml:space="preserve">   </w:t>
            </w:r>
          </w:p>
        </w:tc>
      </w:tr>
      <w:tr w14:paraId="3D84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663" w:type="dxa"/>
            <w:vMerge w:val="continue"/>
            <w:vAlign w:val="center"/>
          </w:tcPr>
          <w:p w14:paraId="23B90575">
            <w:pPr>
              <w:spacing w:line="360" w:lineRule="auto"/>
              <w:jc w:val="left"/>
              <w:rPr>
                <w:rFonts w:hint="eastAsia" w:ascii="仿宋" w:hAnsi="仿宋" w:eastAsia="仿宋" w:cs="仿宋"/>
                <w:color w:val="000000" w:themeColor="text1"/>
                <w14:textFill>
                  <w14:solidFill>
                    <w14:schemeClr w14:val="tx1"/>
                  </w14:solidFill>
                </w14:textFill>
              </w:rPr>
            </w:pPr>
          </w:p>
        </w:tc>
        <w:tc>
          <w:tcPr>
            <w:tcW w:w="1910" w:type="dxa"/>
            <w:vMerge w:val="continue"/>
            <w:vAlign w:val="center"/>
          </w:tcPr>
          <w:p w14:paraId="0B9A8D6C">
            <w:pPr>
              <w:spacing w:line="360" w:lineRule="auto"/>
              <w:jc w:val="left"/>
              <w:rPr>
                <w:rFonts w:hint="eastAsia" w:ascii="仿宋" w:hAnsi="仿宋" w:eastAsia="仿宋" w:cs="仿宋"/>
                <w:color w:val="000000" w:themeColor="text1"/>
                <w14:textFill>
                  <w14:solidFill>
                    <w14:schemeClr w14:val="tx1"/>
                  </w14:solidFill>
                </w14:textFill>
              </w:rPr>
            </w:pPr>
          </w:p>
        </w:tc>
        <w:tc>
          <w:tcPr>
            <w:tcW w:w="6967" w:type="dxa"/>
            <w:vAlign w:val="center"/>
          </w:tcPr>
          <w:p w14:paraId="2C9AB893">
            <w:pPr>
              <w:spacing w:line="360" w:lineRule="auto"/>
              <w:jc w:val="left"/>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大写：</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 xml:space="preserve">         </w:t>
            </w:r>
          </w:p>
        </w:tc>
      </w:tr>
      <w:tr w14:paraId="42752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63" w:type="dxa"/>
            <w:vAlign w:val="center"/>
          </w:tcPr>
          <w:p w14:paraId="0EC25DF0">
            <w:pPr>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2</w:t>
            </w:r>
          </w:p>
        </w:tc>
        <w:tc>
          <w:tcPr>
            <w:tcW w:w="1910" w:type="dxa"/>
            <w:vAlign w:val="center"/>
          </w:tcPr>
          <w:p w14:paraId="0D5012D3">
            <w:pPr>
              <w:spacing w:line="360" w:lineRule="auto"/>
              <w:jc w:val="center"/>
              <w:rPr>
                <w:rFonts w:hint="eastAsia" w:ascii="仿宋" w:hAnsi="仿宋" w:eastAsia="仿宋" w:cs="仿宋"/>
                <w:b/>
                <w:bCs/>
                <w:color w:val="000000" w:themeColor="text1"/>
                <w:lang w:eastAsia="zh-CN"/>
                <w14:textFill>
                  <w14:solidFill>
                    <w14:schemeClr w14:val="tx1"/>
                  </w14:solidFill>
                </w14:textFill>
              </w:rPr>
            </w:pPr>
            <w:r>
              <w:rPr>
                <w:rFonts w:hint="eastAsia" w:ascii="仿宋" w:hAnsi="仿宋" w:eastAsia="仿宋" w:cs="仿宋"/>
                <w:b/>
                <w:bCs/>
                <w:color w:val="000000" w:themeColor="text1"/>
                <w:lang w:eastAsia="zh-CN"/>
                <w14:textFill>
                  <w14:solidFill>
                    <w14:schemeClr w14:val="tx1"/>
                  </w14:solidFill>
                </w14:textFill>
              </w:rPr>
              <w:t>服务周期</w:t>
            </w:r>
          </w:p>
        </w:tc>
        <w:tc>
          <w:tcPr>
            <w:tcW w:w="6967" w:type="dxa"/>
            <w:vAlign w:val="center"/>
          </w:tcPr>
          <w:p w14:paraId="32BC5615">
            <w:pPr>
              <w:spacing w:line="360" w:lineRule="auto"/>
              <w:jc w:val="center"/>
              <w:rPr>
                <w:rFonts w:hint="eastAsia" w:ascii="仿宋" w:hAnsi="仿宋" w:eastAsia="仿宋" w:cs="仿宋"/>
                <w:b/>
                <w:bCs/>
                <w:color w:val="000000" w:themeColor="text1"/>
                <w14:textFill>
                  <w14:solidFill>
                    <w14:schemeClr w14:val="tx1"/>
                  </w14:solidFill>
                </w14:textFill>
              </w:rPr>
            </w:pPr>
          </w:p>
        </w:tc>
      </w:tr>
      <w:tr w14:paraId="1482C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63" w:type="dxa"/>
            <w:vAlign w:val="center"/>
          </w:tcPr>
          <w:p w14:paraId="5E31A1F4">
            <w:pPr>
              <w:spacing w:line="360" w:lineRule="auto"/>
              <w:jc w:val="center"/>
              <w:rPr>
                <w:rFonts w:hint="eastAsia" w:ascii="仿宋" w:hAnsi="仿宋" w:eastAsia="仿宋" w:cs="仿宋"/>
                <w:b/>
                <w:bCs/>
                <w:color w:val="000000" w:themeColor="text1"/>
                <w:lang w:eastAsia="zh-CN"/>
                <w14:textFill>
                  <w14:solidFill>
                    <w14:schemeClr w14:val="tx1"/>
                  </w14:solidFill>
                </w14:textFill>
              </w:rPr>
            </w:pPr>
            <w:r>
              <w:rPr>
                <w:rFonts w:hint="eastAsia" w:ascii="仿宋" w:hAnsi="仿宋" w:eastAsia="仿宋" w:cs="仿宋"/>
                <w:b/>
                <w:bCs/>
                <w:color w:val="000000" w:themeColor="text1"/>
                <w:lang w:val="en-US" w:eastAsia="zh-CN"/>
                <w14:textFill>
                  <w14:solidFill>
                    <w14:schemeClr w14:val="tx1"/>
                  </w14:solidFill>
                </w14:textFill>
              </w:rPr>
              <w:t>3</w:t>
            </w:r>
          </w:p>
        </w:tc>
        <w:tc>
          <w:tcPr>
            <w:tcW w:w="1910" w:type="dxa"/>
            <w:vAlign w:val="center"/>
          </w:tcPr>
          <w:p w14:paraId="2D89B515">
            <w:pPr>
              <w:spacing w:line="360" w:lineRule="auto"/>
              <w:jc w:val="center"/>
              <w:rPr>
                <w:rFonts w:hint="eastAsia" w:ascii="仿宋" w:hAnsi="仿宋" w:eastAsia="仿宋" w:cs="仿宋"/>
                <w:b/>
                <w:bCs/>
                <w:color w:val="000000" w:themeColor="text1"/>
                <w:lang w:eastAsia="zh-CN"/>
                <w14:textFill>
                  <w14:solidFill>
                    <w14:schemeClr w14:val="tx1"/>
                  </w14:solidFill>
                </w14:textFill>
              </w:rPr>
            </w:pPr>
            <w:r>
              <w:rPr>
                <w:rFonts w:hint="eastAsia" w:ascii="仿宋" w:hAnsi="仿宋" w:eastAsia="仿宋" w:cs="仿宋"/>
                <w:b/>
                <w:bCs/>
                <w:color w:val="000000" w:themeColor="text1"/>
                <w:lang w:eastAsia="zh-CN"/>
                <w14:textFill>
                  <w14:solidFill>
                    <w14:schemeClr w14:val="tx1"/>
                  </w14:solidFill>
                </w14:textFill>
              </w:rPr>
              <w:t>质量承诺</w:t>
            </w:r>
          </w:p>
        </w:tc>
        <w:tc>
          <w:tcPr>
            <w:tcW w:w="6967" w:type="dxa"/>
            <w:vAlign w:val="center"/>
          </w:tcPr>
          <w:p w14:paraId="0906FCC4">
            <w:pPr>
              <w:spacing w:line="360" w:lineRule="auto"/>
              <w:jc w:val="center"/>
              <w:rPr>
                <w:rFonts w:hint="eastAsia" w:ascii="仿宋" w:hAnsi="仿宋" w:eastAsia="仿宋" w:cs="仿宋"/>
                <w:b/>
                <w:bCs/>
                <w:color w:val="000000" w:themeColor="text1"/>
                <w14:textFill>
                  <w14:solidFill>
                    <w14:schemeClr w14:val="tx1"/>
                  </w14:solidFill>
                </w14:textFill>
              </w:rPr>
            </w:pPr>
          </w:p>
        </w:tc>
      </w:tr>
      <w:tr w14:paraId="1A83F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663" w:type="dxa"/>
            <w:tcBorders>
              <w:bottom w:val="single" w:color="auto" w:sz="4" w:space="0"/>
            </w:tcBorders>
            <w:vAlign w:val="center"/>
          </w:tcPr>
          <w:p w14:paraId="150C221C">
            <w:pPr>
              <w:spacing w:line="360" w:lineRule="auto"/>
              <w:jc w:val="center"/>
              <w:rPr>
                <w:rFonts w:hint="eastAsia" w:ascii="仿宋" w:hAnsi="仿宋" w:eastAsia="仿宋" w:cs="仿宋"/>
                <w:b/>
                <w:bCs/>
                <w:color w:val="000000" w:themeColor="text1"/>
                <w:lang w:eastAsia="zh-CN"/>
                <w14:textFill>
                  <w14:solidFill>
                    <w14:schemeClr w14:val="tx1"/>
                  </w14:solidFill>
                </w14:textFill>
              </w:rPr>
            </w:pPr>
            <w:r>
              <w:rPr>
                <w:rFonts w:hint="eastAsia" w:ascii="仿宋" w:hAnsi="仿宋" w:eastAsia="仿宋" w:cs="仿宋"/>
                <w:b/>
                <w:bCs/>
                <w:color w:val="000000" w:themeColor="text1"/>
                <w:lang w:val="en-US" w:eastAsia="zh-CN"/>
                <w14:textFill>
                  <w14:solidFill>
                    <w14:schemeClr w14:val="tx1"/>
                  </w14:solidFill>
                </w14:textFill>
              </w:rPr>
              <w:t>4</w:t>
            </w:r>
          </w:p>
        </w:tc>
        <w:tc>
          <w:tcPr>
            <w:tcW w:w="1910" w:type="dxa"/>
            <w:tcBorders>
              <w:bottom w:val="single" w:color="auto" w:sz="4" w:space="0"/>
            </w:tcBorders>
            <w:vAlign w:val="center"/>
          </w:tcPr>
          <w:p w14:paraId="0C232AAF">
            <w:pPr>
              <w:spacing w:line="360" w:lineRule="auto"/>
              <w:jc w:val="center"/>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备  注</w:t>
            </w:r>
          </w:p>
        </w:tc>
        <w:tc>
          <w:tcPr>
            <w:tcW w:w="6967" w:type="dxa"/>
            <w:tcBorders>
              <w:bottom w:val="single" w:color="auto" w:sz="4" w:space="0"/>
            </w:tcBorders>
            <w:vAlign w:val="center"/>
          </w:tcPr>
          <w:p w14:paraId="3B7C1739">
            <w:pPr>
              <w:spacing w:line="360" w:lineRule="auto"/>
              <w:ind w:firstLine="420"/>
              <w:rPr>
                <w:rFonts w:hint="eastAsia" w:ascii="仿宋" w:hAnsi="仿宋" w:eastAsia="仿宋" w:cs="仿宋"/>
                <w:color w:val="000000" w:themeColor="text1"/>
                <w14:textFill>
                  <w14:solidFill>
                    <w14:schemeClr w14:val="tx1"/>
                  </w14:solidFill>
                </w14:textFill>
              </w:rPr>
            </w:pPr>
          </w:p>
        </w:tc>
      </w:tr>
    </w:tbl>
    <w:p w14:paraId="5ED2AEF8">
      <w:pPr>
        <w:spacing w:before="312" w:beforeLines="100" w:line="360" w:lineRule="auto"/>
        <w:jc w:val="left"/>
        <w:rPr>
          <w:rFonts w:hint="eastAsia" w:ascii="仿宋" w:hAnsi="仿宋" w:eastAsia="仿宋" w:cs="仿宋"/>
          <w:b/>
          <w:bCs/>
          <w:color w:val="000000" w:themeColor="text1"/>
          <w:u w:val="single"/>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供应商名称：（加盖公章）</w:t>
      </w:r>
      <w:r>
        <w:rPr>
          <w:rFonts w:hint="eastAsia" w:ascii="仿宋" w:hAnsi="仿宋" w:eastAsia="仿宋" w:cs="仿宋"/>
          <w:b/>
          <w:bCs/>
          <w:color w:val="000000" w:themeColor="text1"/>
          <w:u w:val="single"/>
          <w14:textFill>
            <w14:solidFill>
              <w14:schemeClr w14:val="tx1"/>
            </w14:solidFill>
          </w14:textFill>
        </w:rPr>
        <w:t xml:space="preserve">                            </w:t>
      </w:r>
    </w:p>
    <w:p w14:paraId="7C11F2C5">
      <w:pPr>
        <w:spacing w:before="312" w:beforeLines="100" w:line="360" w:lineRule="auto"/>
        <w:jc w:val="left"/>
        <w:rPr>
          <w:rFonts w:hint="eastAsia" w:ascii="仿宋" w:hAnsi="仿宋" w:eastAsia="仿宋" w:cs="仿宋"/>
          <w:b/>
          <w:bCs/>
          <w:color w:val="000000" w:themeColor="text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法定代表人或其委托代理人：</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（签字）</w:t>
      </w:r>
    </w:p>
    <w:p w14:paraId="581237DE">
      <w:pPr>
        <w:spacing w:before="312" w:beforeLines="100" w:line="360" w:lineRule="auto"/>
        <w:jc w:val="left"/>
        <w:rPr>
          <w:rFonts w:hint="eastAsia" w:ascii="仿宋" w:hAnsi="仿宋" w:eastAsia="仿宋" w:cs="仿宋"/>
          <w:color w:val="000000" w:themeColor="text1"/>
          <w:kern w:val="1"/>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日     期：</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年</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月</w:t>
      </w:r>
      <w:r>
        <w:rPr>
          <w:rFonts w:hint="eastAsia" w:ascii="仿宋" w:hAnsi="仿宋" w:eastAsia="仿宋" w:cs="仿宋"/>
          <w:b/>
          <w:bCs/>
          <w:color w:val="000000" w:themeColor="text1"/>
          <w:u w:val="single"/>
          <w14:textFill>
            <w14:solidFill>
              <w14:schemeClr w14:val="tx1"/>
            </w14:solidFill>
          </w14:textFill>
        </w:rPr>
        <w:t xml:space="preserve">        </w:t>
      </w:r>
      <w:r>
        <w:rPr>
          <w:rFonts w:hint="eastAsia" w:ascii="仿宋" w:hAnsi="仿宋" w:eastAsia="仿宋" w:cs="仿宋"/>
          <w:b/>
          <w:bCs/>
          <w:color w:val="000000" w:themeColor="text1"/>
          <w14:textFill>
            <w14:solidFill>
              <w14:schemeClr w14:val="tx1"/>
            </w14:solidFill>
          </w14:textFill>
        </w:rPr>
        <w:t>日</w:t>
      </w:r>
    </w:p>
    <w:p w14:paraId="1522EB25">
      <w:pPr>
        <w:spacing w:line="360" w:lineRule="auto"/>
        <w:rPr>
          <w:rFonts w:hint="eastAsia" w:ascii="仿宋" w:hAnsi="仿宋" w:eastAsia="仿宋" w:cs="仿宋"/>
          <w:color w:val="000000" w:themeColor="text1"/>
          <w:kern w:val="1"/>
          <w14:textFill>
            <w14:solidFill>
              <w14:schemeClr w14:val="tx1"/>
            </w14:solidFill>
          </w14:textFill>
        </w:rPr>
      </w:pPr>
    </w:p>
    <w:p w14:paraId="1D0B76CA">
      <w:pPr>
        <w:spacing w:line="360" w:lineRule="auto"/>
        <w:rPr>
          <w:rFonts w:hint="eastAsia" w:ascii="仿宋" w:hAnsi="仿宋" w:eastAsia="仿宋" w:cs="仿宋"/>
          <w:color w:val="000000" w:themeColor="text1"/>
          <w:kern w:val="1"/>
          <w14:textFill>
            <w14:solidFill>
              <w14:schemeClr w14:val="tx1"/>
            </w14:solidFill>
          </w14:textFill>
        </w:rPr>
      </w:pPr>
      <w:r>
        <w:rPr>
          <w:rFonts w:hint="eastAsia" w:ascii="仿宋" w:hAnsi="仿宋" w:eastAsia="仿宋" w:cs="仿宋"/>
          <w:color w:val="000000" w:themeColor="text1"/>
          <w:kern w:val="1"/>
          <w14:textFill>
            <w14:solidFill>
              <w14:schemeClr w14:val="tx1"/>
            </w14:solidFill>
          </w14:textFill>
        </w:rPr>
        <w:t>注：1.此报价为最终报价；</w:t>
      </w:r>
    </w:p>
    <w:p w14:paraId="2C130CC1">
      <w:pPr>
        <w:spacing w:line="360" w:lineRule="auto"/>
        <w:ind w:firstLine="420"/>
        <w:outlineLvl w:val="9"/>
        <w:rPr>
          <w:rFonts w:hint="eastAsia" w:ascii="仿宋" w:hAnsi="仿宋" w:eastAsia="仿宋" w:cs="仿宋"/>
          <w:color w:val="000000" w:themeColor="text1"/>
          <w:kern w:val="1"/>
          <w14:textFill>
            <w14:solidFill>
              <w14:schemeClr w14:val="tx1"/>
            </w14:solidFill>
          </w14:textFill>
        </w:rPr>
      </w:pPr>
      <w:r>
        <w:rPr>
          <w:rFonts w:hint="eastAsia" w:ascii="仿宋" w:hAnsi="仿宋" w:eastAsia="仿宋" w:cs="仿宋"/>
          <w:color w:val="000000" w:themeColor="text1"/>
          <w:kern w:val="1"/>
          <w14:textFill>
            <w14:solidFill>
              <w14:schemeClr w14:val="tx1"/>
            </w14:solidFill>
          </w14:textFill>
        </w:rPr>
        <w:t>2.以</w:t>
      </w:r>
      <w:r>
        <w:rPr>
          <w:rFonts w:hint="eastAsia" w:ascii="仿宋" w:hAnsi="仿宋" w:eastAsia="仿宋" w:cs="仿宋"/>
          <w:color w:val="000000" w:themeColor="text1"/>
          <w:kern w:val="1"/>
          <w:u w:val="single"/>
          <w14:textFill>
            <w14:solidFill>
              <w14:schemeClr w14:val="tx1"/>
            </w14:solidFill>
          </w14:textFill>
        </w:rPr>
        <w:t>人民币</w:t>
      </w:r>
      <w:r>
        <w:rPr>
          <w:rFonts w:hint="eastAsia" w:ascii="仿宋" w:hAnsi="仿宋" w:eastAsia="仿宋" w:cs="仿宋"/>
          <w:color w:val="000000" w:themeColor="text1"/>
          <w:kern w:val="1"/>
          <w14:textFill>
            <w14:solidFill>
              <w14:schemeClr w14:val="tx1"/>
            </w14:solidFill>
          </w14:textFill>
        </w:rPr>
        <w:t>报价；</w:t>
      </w:r>
    </w:p>
    <w:p w14:paraId="1EF40AE3">
      <w:pPr>
        <w:spacing w:line="360" w:lineRule="auto"/>
        <w:ind w:firstLine="420"/>
        <w:rPr>
          <w:rFonts w:hint="eastAsia" w:ascii="仿宋" w:hAnsi="仿宋" w:eastAsia="仿宋" w:cs="仿宋"/>
          <w:color w:val="000000" w:themeColor="text1"/>
          <w:kern w:val="1"/>
          <w14:textFill>
            <w14:solidFill>
              <w14:schemeClr w14:val="tx1"/>
            </w14:solidFill>
          </w14:textFill>
        </w:rPr>
      </w:pPr>
      <w:r>
        <w:rPr>
          <w:rFonts w:hint="eastAsia" w:ascii="仿宋" w:hAnsi="仿宋" w:eastAsia="仿宋" w:cs="仿宋"/>
          <w:color w:val="000000" w:themeColor="text1"/>
          <w:kern w:val="1"/>
          <w14:textFill>
            <w14:solidFill>
              <w14:schemeClr w14:val="tx1"/>
            </w14:solidFill>
          </w14:textFill>
        </w:rPr>
        <w:t>3.此表不用装订在响应文件里，</w:t>
      </w:r>
      <w:r>
        <w:rPr>
          <w:rFonts w:hint="eastAsia" w:ascii="仿宋" w:hAnsi="仿宋" w:eastAsia="仿宋" w:cs="仿宋"/>
          <w:color w:val="000000" w:themeColor="text1"/>
          <w:kern w:val="1"/>
          <w:lang w:val="en-US" w:eastAsia="zh-CN"/>
          <w14:textFill>
            <w14:solidFill>
              <w14:schemeClr w14:val="tx1"/>
            </w14:solidFill>
          </w14:textFill>
        </w:rPr>
        <w:t>供应商自行打印，加盖公章后带至开标</w:t>
      </w:r>
      <w:r>
        <w:rPr>
          <w:rFonts w:hint="eastAsia" w:ascii="仿宋" w:hAnsi="仿宋" w:eastAsia="仿宋" w:cs="仿宋"/>
          <w:color w:val="000000" w:themeColor="text1"/>
          <w:kern w:val="1"/>
          <w14:textFill>
            <w14:solidFill>
              <w14:schemeClr w14:val="tx1"/>
            </w14:solidFill>
          </w14:textFill>
        </w:rPr>
        <w:t>现场报价。</w:t>
      </w:r>
    </w:p>
    <w:sectPr>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Yu Mincho Light">
    <w:altName w:val="Yu Gothic"/>
    <w:panose1 w:val="00000000000000000000"/>
    <w:charset w:val="80"/>
    <w:family w:val="roman"/>
    <w:pitch w:val="default"/>
    <w:sig w:usb0="00000000" w:usb1="00000000" w:usb2="00000012" w:usb3="00000000" w:csb0="0002009F" w:csb1="00000000"/>
  </w:font>
  <w:font w:name="MS Mincho">
    <w:altName w:val="Yu Gothic UI"/>
    <w:panose1 w:val="02020609040205080304"/>
    <w:charset w:val="80"/>
    <w:family w:val="auto"/>
    <w:pitch w:val="default"/>
    <w:sig w:usb0="00000000" w:usb1="00000000" w:usb2="00000012" w:usb3="00000000" w:csb0="4002009F" w:csb1="DFD70000"/>
  </w:font>
  <w:font w:name="@MS PMincho">
    <w:altName w:val="Yu Gothic UI"/>
    <w:panose1 w:val="02020600040205080304"/>
    <w:charset w:val="80"/>
    <w:family w:val="roman"/>
    <w:pitch w:val="default"/>
    <w:sig w:usb0="00000000" w:usb1="00000000" w:usb2="00000012" w:usb3="00000000" w:csb0="4002009F" w:csb1="DFD70000"/>
  </w:font>
  <w:font w:name="Wingdings 2">
    <w:altName w:val="Wingdings"/>
    <w:panose1 w:val="05020102010507070707"/>
    <w:charset w:val="02"/>
    <w:family w:val="roman"/>
    <w:pitch w:val="default"/>
    <w:sig w:usb0="00000000" w:usb1="00000000" w:usb2="00000000" w:usb3="00000000" w:csb0="80000000" w:csb1="00000000"/>
  </w:font>
  <w:font w:name="Yu Gothic">
    <w:panose1 w:val="020B0400000000000000"/>
    <w:charset w:val="80"/>
    <w:family w:val="auto"/>
    <w:pitch w:val="default"/>
    <w:sig w:usb0="E00002FF" w:usb1="2AC7FDFF" w:usb2="00000016" w:usb3="00000000" w:csb0="2002009F" w:csb1="00000000"/>
  </w:font>
  <w:font w:name="Yu Gothic UI">
    <w:panose1 w:val="020B0500000000000000"/>
    <w:charset w:val="80"/>
    <w:family w:val="auto"/>
    <w:pitch w:val="default"/>
    <w:sig w:usb0="E00002FF" w:usb1="2AC7FDFF" w:usb2="00000016" w:usb3="00000000" w:csb0="2002009F"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41017">
    <w:pPr>
      <w:pStyle w:val="2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C3CC6">
    <w:pPr>
      <w:pStyle w:val="24"/>
      <w:jc w:val="center"/>
      <w:rPr>
        <w:rFonts w:ascii="仿宋_GB2312" w:hAnsi="仿宋_GB2312" w:eastAsia="仿宋_GB2312" w:cs="仿宋_GB2312"/>
      </w:rPr>
    </w:pPr>
  </w:p>
  <w:p w14:paraId="023E29B5">
    <w:pPr>
      <w:pStyle w:val="2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DAEE3">
    <w:pPr>
      <w:pStyle w:val="24"/>
      <w:jc w:val="center"/>
      <w:rPr>
        <w:rFonts w:ascii="仿宋_GB2312" w:hAnsi="仿宋_GB2312" w:eastAsia="仿宋_GB2312" w:cs="仿宋_GB231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C68E5C">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EC68E5C">
                    <w:pPr>
                      <w:pStyle w:val="24"/>
                    </w:pPr>
                    <w:r>
                      <w:fldChar w:fldCharType="begin"/>
                    </w:r>
                    <w:r>
                      <w:instrText xml:space="preserve"> PAGE  \* MERGEFORMAT </w:instrText>
                    </w:r>
                    <w:r>
                      <w:fldChar w:fldCharType="separate"/>
                    </w:r>
                    <w:r>
                      <w:t>1</w:t>
                    </w:r>
                    <w:r>
                      <w:fldChar w:fldCharType="end"/>
                    </w:r>
                  </w:p>
                </w:txbxContent>
              </v:textbox>
            </v:shape>
          </w:pict>
        </mc:Fallback>
      </mc:AlternateContent>
    </w:r>
  </w:p>
  <w:p w14:paraId="055BBF55">
    <w:pPr>
      <w:pStyle w:val="2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73458">
    <w:pPr>
      <w:pStyle w:val="1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332730">
                          <w:pPr>
                            <w:pStyle w:val="24"/>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C332730">
                    <w:pPr>
                      <w:pStyle w:val="24"/>
                    </w:pPr>
                    <w:r>
                      <w:fldChar w:fldCharType="begin"/>
                    </w:r>
                    <w:r>
                      <w:instrText xml:space="preserve"> PAGE  \* MERGEFORMAT </w:instrText>
                    </w:r>
                    <w:r>
                      <w:fldChar w:fldCharType="separate"/>
                    </w:r>
                    <w:r>
                      <w:t>39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4AA87">
    <w:pPr>
      <w:pStyle w:val="25"/>
      <w:pBdr>
        <w:bottom w:val="single" w:color="auto" w:sz="4" w:space="1"/>
      </w:pBdr>
      <w:tabs>
        <w:tab w:val="clear" w:pos="8306"/>
      </w:tabs>
      <w:jc w:val="both"/>
      <w:rPr>
        <w:rFonts w:ascii="仿宋_GB2312" w:hAnsi="仿宋_GB2312" w:eastAsia="仿宋_GB2312" w:cs="仿宋_GB2312"/>
      </w:rPr>
    </w:pPr>
    <w:r>
      <w:rPr>
        <w:rFonts w:hint="eastAsia" w:ascii="仿宋_GB2312" w:hAnsi="仿宋_GB2312" w:eastAsia="仿宋_GB2312" w:cs="仿宋_GB2312"/>
        <w:lang w:eastAsia="zh-CN"/>
      </w:rPr>
      <w:t>国家重点生态功能区景洪市南昆河流域农村生活污水治理工程监理服务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51879">
    <w:pPr>
      <w:rPr>
        <w:rFonts w:ascii="仿宋_GB2312" w:hAnsi="宋体" w:eastAsia="仿宋_GB2312"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DB23B"/>
    <w:multiLevelType w:val="singleLevel"/>
    <w:tmpl w:val="0BEDB23B"/>
    <w:lvl w:ilvl="0" w:tentative="0">
      <w:start w:val="8"/>
      <w:numFmt w:val="chineseCounting"/>
      <w:suff w:val="nothing"/>
      <w:lvlText w:val="%1、"/>
      <w:lvlJc w:val="left"/>
      <w:rPr>
        <w:rFonts w:hint="eastAsia"/>
      </w:rPr>
    </w:lvl>
  </w:abstractNum>
  <w:abstractNum w:abstractNumId="1">
    <w:nsid w:val="1EB02D2E"/>
    <w:multiLevelType w:val="singleLevel"/>
    <w:tmpl w:val="1EB02D2E"/>
    <w:lvl w:ilvl="0" w:tentative="0">
      <w:start w:val="6"/>
      <w:numFmt w:val="chineseCounting"/>
      <w:suff w:val="nothing"/>
      <w:lvlText w:val="%1、"/>
      <w:lvlJc w:val="left"/>
      <w:rPr>
        <w:rFonts w:hint="eastAsia"/>
      </w:rPr>
    </w:lvl>
  </w:abstractNum>
  <w:abstractNum w:abstractNumId="2">
    <w:nsid w:val="2D335DC1"/>
    <w:multiLevelType w:val="singleLevel"/>
    <w:tmpl w:val="2D335DC1"/>
    <w:lvl w:ilvl="0" w:tentative="0">
      <w:start w:val="6"/>
      <w:numFmt w:val="chineseCounting"/>
      <w:suff w:val="space"/>
      <w:lvlText w:val="第%1章"/>
      <w:lvlJc w:val="left"/>
      <w:rPr>
        <w:rFonts w:hint="eastAsia"/>
      </w:rPr>
    </w:lvl>
  </w:abstractNum>
  <w:abstractNum w:abstractNumId="3">
    <w:nsid w:val="596C1DF1"/>
    <w:multiLevelType w:val="multilevel"/>
    <w:tmpl w:val="596C1DF1"/>
    <w:lvl w:ilvl="0" w:tentative="0">
      <w:start w:val="1"/>
      <w:numFmt w:val="bullet"/>
      <w:pStyle w:val="124"/>
      <w:lvlText w:val=""/>
      <w:lvlJc w:val="left"/>
      <w:pPr>
        <w:tabs>
          <w:tab w:val="left" w:pos="900"/>
        </w:tabs>
        <w:ind w:left="900" w:hanging="420"/>
      </w:pPr>
      <w:rPr>
        <w:rFonts w:hint="default" w:ascii="Wingdings" w:hAnsi="Wingdings" w:cs="Wingdings"/>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4">
    <w:nsid w:val="596C1DFC"/>
    <w:multiLevelType w:val="multilevel"/>
    <w:tmpl w:val="596C1DFC"/>
    <w:lvl w:ilvl="0" w:tentative="0">
      <w:start w:val="1"/>
      <w:numFmt w:val="bullet"/>
      <w:pStyle w:val="107"/>
      <w:lvlText w:val=""/>
      <w:lvlJc w:val="left"/>
      <w:pPr>
        <w:tabs>
          <w:tab w:val="left" w:pos="420"/>
        </w:tabs>
        <w:ind w:left="420" w:hanging="420"/>
      </w:pPr>
      <w:rPr>
        <w:rFonts w:hint="default" w:ascii="Wingdings" w:hAnsi="Wingdings" w:cs="Wingdings"/>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5">
    <w:nsid w:val="596C1E12"/>
    <w:multiLevelType w:val="multilevel"/>
    <w:tmpl w:val="596C1E12"/>
    <w:lvl w:ilvl="0" w:tentative="0">
      <w:start w:val="1"/>
      <w:numFmt w:val="decimal"/>
      <w:suff w:val="space"/>
      <w:lvlText w:val="%1"/>
      <w:lvlJc w:val="left"/>
      <w:pPr>
        <w:tabs>
          <w:tab w:val="left" w:pos="0"/>
        </w:tabs>
        <w:ind w:left="0" w:firstLine="0"/>
      </w:pPr>
      <w:rPr>
        <w:rFonts w:ascii="Arial" w:hAnsi="Arial" w:eastAsia="黑体" w:cs="Times New Roman"/>
        <w:b/>
        <w:iCs w:val="0"/>
        <w:caps w:val="0"/>
        <w:strike w:val="0"/>
        <w:dstrike w:val="0"/>
        <w:vanish w:val="0"/>
        <w:color w:val="000000"/>
        <w:spacing w:val="0"/>
        <w:kern w:val="0"/>
        <w:position w:val="0"/>
        <w:sz w:val="32"/>
        <w:szCs w:val="32"/>
        <w:u w:val="none"/>
      </w:rPr>
    </w:lvl>
    <w:lvl w:ilvl="1" w:tentative="0">
      <w:start w:val="1"/>
      <w:numFmt w:val="decimal"/>
      <w:suff w:val="space"/>
      <w:lvlText w:val="%1.%2"/>
      <w:lvlJc w:val="left"/>
      <w:pPr>
        <w:tabs>
          <w:tab w:val="left" w:pos="0"/>
        </w:tabs>
        <w:ind w:left="0" w:firstLine="0"/>
      </w:pPr>
      <w:rPr>
        <w:rFonts w:hint="default" w:ascii="Arial" w:hAnsi="Arial" w:eastAsia="黑体" w:cs="Times New Roman"/>
        <w:b/>
        <w:sz w:val="28"/>
        <w:szCs w:val="28"/>
      </w:rPr>
    </w:lvl>
    <w:lvl w:ilvl="2" w:tentative="0">
      <w:start w:val="1"/>
      <w:numFmt w:val="decimal"/>
      <w:suff w:val="space"/>
      <w:lvlText w:val="%1.%2.%3"/>
      <w:lvlJc w:val="left"/>
      <w:pPr>
        <w:tabs>
          <w:tab w:val="left" w:pos="0"/>
        </w:tabs>
        <w:ind w:left="0" w:firstLine="0"/>
      </w:pPr>
      <w:rPr>
        <w:rFonts w:hint="default" w:ascii="Arial" w:hAnsi="Arial" w:eastAsia="黑体" w:cs="Times New Roman"/>
        <w:b/>
        <w:sz w:val="28"/>
        <w:szCs w:val="28"/>
      </w:rPr>
    </w:lvl>
    <w:lvl w:ilvl="3" w:tentative="0">
      <w:start w:val="1"/>
      <w:numFmt w:val="decimal"/>
      <w:suff w:val="space"/>
      <w:lvlText w:val="%1.%2.%3.%4"/>
      <w:lvlJc w:val="left"/>
      <w:pPr>
        <w:tabs>
          <w:tab w:val="left" w:pos="0"/>
        </w:tabs>
        <w:ind w:left="0" w:firstLine="0"/>
      </w:pPr>
      <w:rPr>
        <w:rFonts w:hint="default" w:ascii="Arial" w:hAnsi="Arial" w:eastAsia="黑体" w:cs="Times New Roman"/>
        <w:b/>
        <w:sz w:val="30"/>
        <w:szCs w:val="30"/>
      </w:rPr>
    </w:lvl>
    <w:lvl w:ilvl="4" w:tentative="0">
      <w:start w:val="1"/>
      <w:numFmt w:val="decimal"/>
      <w:pStyle w:val="6"/>
      <w:suff w:val="space"/>
      <w:lvlText w:val="%1.%2.%3.%4.%5"/>
      <w:lvlJc w:val="left"/>
      <w:pPr>
        <w:tabs>
          <w:tab w:val="left" w:pos="0"/>
        </w:tabs>
        <w:ind w:left="0" w:firstLine="0"/>
      </w:pPr>
      <w:rPr>
        <w:rFonts w:hint="default" w:ascii="Arial" w:hAnsi="Arial" w:eastAsia="黑体" w:cs="Times New Roman"/>
        <w:b/>
        <w:sz w:val="28"/>
        <w:szCs w:val="28"/>
      </w:rPr>
    </w:lvl>
    <w:lvl w:ilvl="5" w:tentative="0">
      <w:start w:val="1"/>
      <w:numFmt w:val="decimal"/>
      <w:lvlText w:val="%1.%2.%3.%4.%5.%6"/>
      <w:lvlJc w:val="left"/>
      <w:pPr>
        <w:tabs>
          <w:tab w:val="left" w:pos="1152"/>
        </w:tabs>
        <w:ind w:left="0" w:firstLine="0"/>
      </w:pPr>
    </w:lvl>
    <w:lvl w:ilvl="6" w:tentative="0">
      <w:start w:val="1"/>
      <w:numFmt w:val="decimal"/>
      <w:lvlText w:val="%1.%2.%3.%4.%5.%6.%7"/>
      <w:lvlJc w:val="left"/>
      <w:pPr>
        <w:tabs>
          <w:tab w:val="left" w:pos="1296"/>
        </w:tabs>
        <w:ind w:left="0" w:firstLine="0"/>
      </w:pPr>
    </w:lvl>
    <w:lvl w:ilvl="7" w:tentative="0">
      <w:start w:val="1"/>
      <w:numFmt w:val="decimal"/>
      <w:lvlText w:val="%1.%2.%3.%4.%5.%6.%7.%8"/>
      <w:lvlJc w:val="left"/>
      <w:pPr>
        <w:tabs>
          <w:tab w:val="left" w:pos="1440"/>
        </w:tabs>
        <w:ind w:left="0" w:firstLine="0"/>
      </w:pPr>
    </w:lvl>
    <w:lvl w:ilvl="8" w:tentative="0">
      <w:start w:val="1"/>
      <w:numFmt w:val="decimal"/>
      <w:lvlText w:val="%1.%2.%3.%4.%5.%6.%7.%8.%9"/>
      <w:lvlJc w:val="left"/>
      <w:pPr>
        <w:tabs>
          <w:tab w:val="left" w:pos="1584"/>
        </w:tabs>
        <w:ind w:left="0" w:firstLine="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zOGJmNzIzMWE2NjllMzJiYmMxY2M4Mjk0Y2MwOTIifQ=="/>
  </w:docVars>
  <w:rsids>
    <w:rsidRoot w:val="00172A27"/>
    <w:rsid w:val="00000218"/>
    <w:rsid w:val="00001534"/>
    <w:rsid w:val="00001F16"/>
    <w:rsid w:val="00002186"/>
    <w:rsid w:val="000028FD"/>
    <w:rsid w:val="00004741"/>
    <w:rsid w:val="0000594D"/>
    <w:rsid w:val="00005B16"/>
    <w:rsid w:val="0000747B"/>
    <w:rsid w:val="00011BA2"/>
    <w:rsid w:val="000121B7"/>
    <w:rsid w:val="00012821"/>
    <w:rsid w:val="00013102"/>
    <w:rsid w:val="00013A0F"/>
    <w:rsid w:val="00013A6F"/>
    <w:rsid w:val="00013E18"/>
    <w:rsid w:val="00014025"/>
    <w:rsid w:val="00014989"/>
    <w:rsid w:val="00014A78"/>
    <w:rsid w:val="00014E65"/>
    <w:rsid w:val="00014F19"/>
    <w:rsid w:val="00015C71"/>
    <w:rsid w:val="00015FFF"/>
    <w:rsid w:val="00016232"/>
    <w:rsid w:val="00016C93"/>
    <w:rsid w:val="000172FB"/>
    <w:rsid w:val="00017936"/>
    <w:rsid w:val="00017A47"/>
    <w:rsid w:val="00020417"/>
    <w:rsid w:val="00020CFA"/>
    <w:rsid w:val="00020E9B"/>
    <w:rsid w:val="00020E9F"/>
    <w:rsid w:val="00020F25"/>
    <w:rsid w:val="0002117A"/>
    <w:rsid w:val="00021464"/>
    <w:rsid w:val="00021D4E"/>
    <w:rsid w:val="00022154"/>
    <w:rsid w:val="0002215A"/>
    <w:rsid w:val="00022AC2"/>
    <w:rsid w:val="00022CE5"/>
    <w:rsid w:val="00022D41"/>
    <w:rsid w:val="00023954"/>
    <w:rsid w:val="00024184"/>
    <w:rsid w:val="00024194"/>
    <w:rsid w:val="000245EC"/>
    <w:rsid w:val="00024692"/>
    <w:rsid w:val="00025B7A"/>
    <w:rsid w:val="000269BF"/>
    <w:rsid w:val="00027ACE"/>
    <w:rsid w:val="00030BDC"/>
    <w:rsid w:val="00030F99"/>
    <w:rsid w:val="00031F31"/>
    <w:rsid w:val="000322D2"/>
    <w:rsid w:val="00032706"/>
    <w:rsid w:val="000331D7"/>
    <w:rsid w:val="0003337E"/>
    <w:rsid w:val="00033C86"/>
    <w:rsid w:val="000345EB"/>
    <w:rsid w:val="00034FA7"/>
    <w:rsid w:val="000359C9"/>
    <w:rsid w:val="0003626C"/>
    <w:rsid w:val="00036872"/>
    <w:rsid w:val="00036A49"/>
    <w:rsid w:val="00037110"/>
    <w:rsid w:val="000375EF"/>
    <w:rsid w:val="000376FE"/>
    <w:rsid w:val="00037DDE"/>
    <w:rsid w:val="00037FE3"/>
    <w:rsid w:val="000401AC"/>
    <w:rsid w:val="000402EF"/>
    <w:rsid w:val="000407E1"/>
    <w:rsid w:val="00041260"/>
    <w:rsid w:val="0004133C"/>
    <w:rsid w:val="0004146E"/>
    <w:rsid w:val="000415E6"/>
    <w:rsid w:val="0004169F"/>
    <w:rsid w:val="00041A48"/>
    <w:rsid w:val="00043293"/>
    <w:rsid w:val="00043891"/>
    <w:rsid w:val="000438EF"/>
    <w:rsid w:val="00043B14"/>
    <w:rsid w:val="00043EE2"/>
    <w:rsid w:val="0004412F"/>
    <w:rsid w:val="00044642"/>
    <w:rsid w:val="0004475C"/>
    <w:rsid w:val="00044777"/>
    <w:rsid w:val="000451E0"/>
    <w:rsid w:val="00046BD4"/>
    <w:rsid w:val="00046CE5"/>
    <w:rsid w:val="00046CE8"/>
    <w:rsid w:val="000475E4"/>
    <w:rsid w:val="00047729"/>
    <w:rsid w:val="00050837"/>
    <w:rsid w:val="00051C5C"/>
    <w:rsid w:val="00052932"/>
    <w:rsid w:val="00053349"/>
    <w:rsid w:val="00053729"/>
    <w:rsid w:val="00053733"/>
    <w:rsid w:val="000543FF"/>
    <w:rsid w:val="00054897"/>
    <w:rsid w:val="00054D39"/>
    <w:rsid w:val="00054EA5"/>
    <w:rsid w:val="00055A06"/>
    <w:rsid w:val="00055D39"/>
    <w:rsid w:val="000564A3"/>
    <w:rsid w:val="00056855"/>
    <w:rsid w:val="00056BE9"/>
    <w:rsid w:val="00056C86"/>
    <w:rsid w:val="000577FA"/>
    <w:rsid w:val="00057947"/>
    <w:rsid w:val="000579F3"/>
    <w:rsid w:val="00057FF9"/>
    <w:rsid w:val="000603DF"/>
    <w:rsid w:val="0006190B"/>
    <w:rsid w:val="0006210C"/>
    <w:rsid w:val="000625F9"/>
    <w:rsid w:val="00062BF7"/>
    <w:rsid w:val="00063230"/>
    <w:rsid w:val="00063DBF"/>
    <w:rsid w:val="00063E5E"/>
    <w:rsid w:val="00064251"/>
    <w:rsid w:val="00065141"/>
    <w:rsid w:val="00065268"/>
    <w:rsid w:val="000653F8"/>
    <w:rsid w:val="000661EC"/>
    <w:rsid w:val="000663B2"/>
    <w:rsid w:val="000670E1"/>
    <w:rsid w:val="00071066"/>
    <w:rsid w:val="000712A3"/>
    <w:rsid w:val="00071B81"/>
    <w:rsid w:val="00071C38"/>
    <w:rsid w:val="00072049"/>
    <w:rsid w:val="0007369B"/>
    <w:rsid w:val="000740CF"/>
    <w:rsid w:val="0007425E"/>
    <w:rsid w:val="000744BA"/>
    <w:rsid w:val="00074A2C"/>
    <w:rsid w:val="000769B1"/>
    <w:rsid w:val="00076C7B"/>
    <w:rsid w:val="00077048"/>
    <w:rsid w:val="0007741F"/>
    <w:rsid w:val="00077A62"/>
    <w:rsid w:val="0008000C"/>
    <w:rsid w:val="00080122"/>
    <w:rsid w:val="000803DA"/>
    <w:rsid w:val="00080E97"/>
    <w:rsid w:val="00081163"/>
    <w:rsid w:val="0008121A"/>
    <w:rsid w:val="00081284"/>
    <w:rsid w:val="000814F5"/>
    <w:rsid w:val="00081C43"/>
    <w:rsid w:val="0008219C"/>
    <w:rsid w:val="000832F6"/>
    <w:rsid w:val="000835A9"/>
    <w:rsid w:val="000841CE"/>
    <w:rsid w:val="00084C24"/>
    <w:rsid w:val="00085658"/>
    <w:rsid w:val="00085695"/>
    <w:rsid w:val="00085C05"/>
    <w:rsid w:val="0008641C"/>
    <w:rsid w:val="00086E9B"/>
    <w:rsid w:val="00087D51"/>
    <w:rsid w:val="00090642"/>
    <w:rsid w:val="000906DA"/>
    <w:rsid w:val="000922B5"/>
    <w:rsid w:val="000930BE"/>
    <w:rsid w:val="00093D1A"/>
    <w:rsid w:val="00094B45"/>
    <w:rsid w:val="000961A8"/>
    <w:rsid w:val="000973E7"/>
    <w:rsid w:val="0009741E"/>
    <w:rsid w:val="000978FD"/>
    <w:rsid w:val="00097E9B"/>
    <w:rsid w:val="00097FAC"/>
    <w:rsid w:val="000A08B0"/>
    <w:rsid w:val="000A0F59"/>
    <w:rsid w:val="000A1B0E"/>
    <w:rsid w:val="000A1C96"/>
    <w:rsid w:val="000A20DD"/>
    <w:rsid w:val="000A2B21"/>
    <w:rsid w:val="000A303C"/>
    <w:rsid w:val="000A335F"/>
    <w:rsid w:val="000A43FE"/>
    <w:rsid w:val="000A451F"/>
    <w:rsid w:val="000A4DAD"/>
    <w:rsid w:val="000A5E0C"/>
    <w:rsid w:val="000A643F"/>
    <w:rsid w:val="000A761B"/>
    <w:rsid w:val="000B0062"/>
    <w:rsid w:val="000B0AA1"/>
    <w:rsid w:val="000B0D61"/>
    <w:rsid w:val="000B0DE1"/>
    <w:rsid w:val="000B14CE"/>
    <w:rsid w:val="000B18BC"/>
    <w:rsid w:val="000B191E"/>
    <w:rsid w:val="000B1C1F"/>
    <w:rsid w:val="000B3180"/>
    <w:rsid w:val="000B37ED"/>
    <w:rsid w:val="000B3887"/>
    <w:rsid w:val="000B398F"/>
    <w:rsid w:val="000B3999"/>
    <w:rsid w:val="000B486F"/>
    <w:rsid w:val="000B545A"/>
    <w:rsid w:val="000B5ADB"/>
    <w:rsid w:val="000B5BC7"/>
    <w:rsid w:val="000B5EF7"/>
    <w:rsid w:val="000B6E9B"/>
    <w:rsid w:val="000B7338"/>
    <w:rsid w:val="000B79D2"/>
    <w:rsid w:val="000B7F61"/>
    <w:rsid w:val="000C0C8E"/>
    <w:rsid w:val="000C34BA"/>
    <w:rsid w:val="000C355E"/>
    <w:rsid w:val="000C3B0D"/>
    <w:rsid w:val="000C47BC"/>
    <w:rsid w:val="000C4EF7"/>
    <w:rsid w:val="000C5587"/>
    <w:rsid w:val="000C5BC7"/>
    <w:rsid w:val="000C624E"/>
    <w:rsid w:val="000C63EB"/>
    <w:rsid w:val="000C6AAF"/>
    <w:rsid w:val="000C6CC5"/>
    <w:rsid w:val="000D0554"/>
    <w:rsid w:val="000D135A"/>
    <w:rsid w:val="000D19CC"/>
    <w:rsid w:val="000D1FEC"/>
    <w:rsid w:val="000D2877"/>
    <w:rsid w:val="000D2CEB"/>
    <w:rsid w:val="000D4700"/>
    <w:rsid w:val="000D4714"/>
    <w:rsid w:val="000D547C"/>
    <w:rsid w:val="000D676D"/>
    <w:rsid w:val="000D6D0F"/>
    <w:rsid w:val="000D7477"/>
    <w:rsid w:val="000D74E6"/>
    <w:rsid w:val="000E0635"/>
    <w:rsid w:val="000E222C"/>
    <w:rsid w:val="000E2427"/>
    <w:rsid w:val="000E244E"/>
    <w:rsid w:val="000E3445"/>
    <w:rsid w:val="000E3B3D"/>
    <w:rsid w:val="000E4324"/>
    <w:rsid w:val="000E4AB2"/>
    <w:rsid w:val="000E6ED4"/>
    <w:rsid w:val="000E7A87"/>
    <w:rsid w:val="000F0065"/>
    <w:rsid w:val="000F090A"/>
    <w:rsid w:val="000F0E31"/>
    <w:rsid w:val="000F17D5"/>
    <w:rsid w:val="000F1EBF"/>
    <w:rsid w:val="000F2BB0"/>
    <w:rsid w:val="000F3382"/>
    <w:rsid w:val="000F3A47"/>
    <w:rsid w:val="000F3C71"/>
    <w:rsid w:val="000F4331"/>
    <w:rsid w:val="000F4A35"/>
    <w:rsid w:val="000F61AB"/>
    <w:rsid w:val="000F6757"/>
    <w:rsid w:val="000F78A2"/>
    <w:rsid w:val="000F79C8"/>
    <w:rsid w:val="000F7FA2"/>
    <w:rsid w:val="000F7FB3"/>
    <w:rsid w:val="0010026C"/>
    <w:rsid w:val="00100418"/>
    <w:rsid w:val="00101DD6"/>
    <w:rsid w:val="0010270A"/>
    <w:rsid w:val="00102FF5"/>
    <w:rsid w:val="001033B7"/>
    <w:rsid w:val="00103439"/>
    <w:rsid w:val="0010392F"/>
    <w:rsid w:val="00103CD1"/>
    <w:rsid w:val="00104D72"/>
    <w:rsid w:val="00104FF2"/>
    <w:rsid w:val="00106814"/>
    <w:rsid w:val="00106E0C"/>
    <w:rsid w:val="0011043D"/>
    <w:rsid w:val="001107DB"/>
    <w:rsid w:val="00110E9E"/>
    <w:rsid w:val="0011101B"/>
    <w:rsid w:val="001117BF"/>
    <w:rsid w:val="00112375"/>
    <w:rsid w:val="00112610"/>
    <w:rsid w:val="0011278A"/>
    <w:rsid w:val="00112D74"/>
    <w:rsid w:val="0011327E"/>
    <w:rsid w:val="00113A04"/>
    <w:rsid w:val="00113D4F"/>
    <w:rsid w:val="00114415"/>
    <w:rsid w:val="0011458E"/>
    <w:rsid w:val="00114ECE"/>
    <w:rsid w:val="00114F3A"/>
    <w:rsid w:val="001151EA"/>
    <w:rsid w:val="001153A0"/>
    <w:rsid w:val="001153D0"/>
    <w:rsid w:val="001157D2"/>
    <w:rsid w:val="00116AAB"/>
    <w:rsid w:val="00117696"/>
    <w:rsid w:val="00117911"/>
    <w:rsid w:val="001208AE"/>
    <w:rsid w:val="00120C12"/>
    <w:rsid w:val="001210C6"/>
    <w:rsid w:val="001216CE"/>
    <w:rsid w:val="0012262F"/>
    <w:rsid w:val="001249B6"/>
    <w:rsid w:val="00124D3D"/>
    <w:rsid w:val="00125B89"/>
    <w:rsid w:val="001279AB"/>
    <w:rsid w:val="0013211B"/>
    <w:rsid w:val="001321CB"/>
    <w:rsid w:val="001327D8"/>
    <w:rsid w:val="00132994"/>
    <w:rsid w:val="00133548"/>
    <w:rsid w:val="001344A3"/>
    <w:rsid w:val="001346C8"/>
    <w:rsid w:val="00134AF4"/>
    <w:rsid w:val="001366B1"/>
    <w:rsid w:val="0013776F"/>
    <w:rsid w:val="00140985"/>
    <w:rsid w:val="00141245"/>
    <w:rsid w:val="00141A17"/>
    <w:rsid w:val="00141D3C"/>
    <w:rsid w:val="00142067"/>
    <w:rsid w:val="001420B9"/>
    <w:rsid w:val="001425ED"/>
    <w:rsid w:val="001434AE"/>
    <w:rsid w:val="00143BCB"/>
    <w:rsid w:val="00144369"/>
    <w:rsid w:val="00145028"/>
    <w:rsid w:val="00145B20"/>
    <w:rsid w:val="00145C13"/>
    <w:rsid w:val="001473BD"/>
    <w:rsid w:val="00147B41"/>
    <w:rsid w:val="00147CF2"/>
    <w:rsid w:val="00147F46"/>
    <w:rsid w:val="0015067A"/>
    <w:rsid w:val="0015072F"/>
    <w:rsid w:val="00150BDF"/>
    <w:rsid w:val="00152A3C"/>
    <w:rsid w:val="00152EC8"/>
    <w:rsid w:val="00152FA5"/>
    <w:rsid w:val="00153DE2"/>
    <w:rsid w:val="00153E3D"/>
    <w:rsid w:val="00154AEA"/>
    <w:rsid w:val="00155621"/>
    <w:rsid w:val="0015663B"/>
    <w:rsid w:val="00156694"/>
    <w:rsid w:val="00156B0A"/>
    <w:rsid w:val="00156E1F"/>
    <w:rsid w:val="0015752B"/>
    <w:rsid w:val="0015765F"/>
    <w:rsid w:val="00157BDF"/>
    <w:rsid w:val="00157EB5"/>
    <w:rsid w:val="0016046B"/>
    <w:rsid w:val="001607CA"/>
    <w:rsid w:val="00160AA7"/>
    <w:rsid w:val="00162295"/>
    <w:rsid w:val="0016371E"/>
    <w:rsid w:val="00163BCF"/>
    <w:rsid w:val="00164174"/>
    <w:rsid w:val="00164739"/>
    <w:rsid w:val="00164CEA"/>
    <w:rsid w:val="001652FB"/>
    <w:rsid w:val="00165DAC"/>
    <w:rsid w:val="00166075"/>
    <w:rsid w:val="00166F54"/>
    <w:rsid w:val="00167731"/>
    <w:rsid w:val="00167803"/>
    <w:rsid w:val="0016780D"/>
    <w:rsid w:val="00170372"/>
    <w:rsid w:val="00172148"/>
    <w:rsid w:val="001723A9"/>
    <w:rsid w:val="00172A27"/>
    <w:rsid w:val="00172CC1"/>
    <w:rsid w:val="00173DE7"/>
    <w:rsid w:val="00173F48"/>
    <w:rsid w:val="001741C8"/>
    <w:rsid w:val="001756BE"/>
    <w:rsid w:val="001765DD"/>
    <w:rsid w:val="00177C74"/>
    <w:rsid w:val="00177E00"/>
    <w:rsid w:val="00180378"/>
    <w:rsid w:val="00180974"/>
    <w:rsid w:val="00180A36"/>
    <w:rsid w:val="00180B9C"/>
    <w:rsid w:val="00180C2F"/>
    <w:rsid w:val="00180F02"/>
    <w:rsid w:val="001811D6"/>
    <w:rsid w:val="00182A83"/>
    <w:rsid w:val="00182D3A"/>
    <w:rsid w:val="001836DD"/>
    <w:rsid w:val="0018382E"/>
    <w:rsid w:val="001850E0"/>
    <w:rsid w:val="0018578B"/>
    <w:rsid w:val="00185CC4"/>
    <w:rsid w:val="00186422"/>
    <w:rsid w:val="001865C7"/>
    <w:rsid w:val="001866DF"/>
    <w:rsid w:val="0018704B"/>
    <w:rsid w:val="00187E21"/>
    <w:rsid w:val="00190115"/>
    <w:rsid w:val="001905DE"/>
    <w:rsid w:val="00190824"/>
    <w:rsid w:val="001910C9"/>
    <w:rsid w:val="001912D7"/>
    <w:rsid w:val="0019143F"/>
    <w:rsid w:val="00192420"/>
    <w:rsid w:val="00192561"/>
    <w:rsid w:val="0019261F"/>
    <w:rsid w:val="00192DC8"/>
    <w:rsid w:val="00192F5C"/>
    <w:rsid w:val="00193229"/>
    <w:rsid w:val="0019323C"/>
    <w:rsid w:val="001942B0"/>
    <w:rsid w:val="0019458A"/>
    <w:rsid w:val="00194721"/>
    <w:rsid w:val="00194C34"/>
    <w:rsid w:val="001963F3"/>
    <w:rsid w:val="00196F3C"/>
    <w:rsid w:val="001A02DF"/>
    <w:rsid w:val="001A0475"/>
    <w:rsid w:val="001A091C"/>
    <w:rsid w:val="001A0B04"/>
    <w:rsid w:val="001A0F18"/>
    <w:rsid w:val="001A0F73"/>
    <w:rsid w:val="001A1A1C"/>
    <w:rsid w:val="001A2683"/>
    <w:rsid w:val="001A2846"/>
    <w:rsid w:val="001A2A6E"/>
    <w:rsid w:val="001A2CE4"/>
    <w:rsid w:val="001A2FCC"/>
    <w:rsid w:val="001A43C5"/>
    <w:rsid w:val="001A448D"/>
    <w:rsid w:val="001A5540"/>
    <w:rsid w:val="001A5A85"/>
    <w:rsid w:val="001A631B"/>
    <w:rsid w:val="001A66D1"/>
    <w:rsid w:val="001A6BC1"/>
    <w:rsid w:val="001A7973"/>
    <w:rsid w:val="001B0276"/>
    <w:rsid w:val="001B0CEA"/>
    <w:rsid w:val="001B1103"/>
    <w:rsid w:val="001B2116"/>
    <w:rsid w:val="001B2E55"/>
    <w:rsid w:val="001B386E"/>
    <w:rsid w:val="001B4F3E"/>
    <w:rsid w:val="001B5896"/>
    <w:rsid w:val="001B5A90"/>
    <w:rsid w:val="001B5EE8"/>
    <w:rsid w:val="001B649A"/>
    <w:rsid w:val="001B6EA7"/>
    <w:rsid w:val="001B74B1"/>
    <w:rsid w:val="001B7625"/>
    <w:rsid w:val="001B7D99"/>
    <w:rsid w:val="001B7DD9"/>
    <w:rsid w:val="001B7F7B"/>
    <w:rsid w:val="001C030C"/>
    <w:rsid w:val="001C0BCB"/>
    <w:rsid w:val="001C0E53"/>
    <w:rsid w:val="001C1C94"/>
    <w:rsid w:val="001C2191"/>
    <w:rsid w:val="001C2291"/>
    <w:rsid w:val="001C2337"/>
    <w:rsid w:val="001C2378"/>
    <w:rsid w:val="001C2BCB"/>
    <w:rsid w:val="001C2E46"/>
    <w:rsid w:val="001C2FD9"/>
    <w:rsid w:val="001C3110"/>
    <w:rsid w:val="001C3BC4"/>
    <w:rsid w:val="001C427C"/>
    <w:rsid w:val="001C49EF"/>
    <w:rsid w:val="001C5D40"/>
    <w:rsid w:val="001C66D0"/>
    <w:rsid w:val="001C6FFC"/>
    <w:rsid w:val="001C7518"/>
    <w:rsid w:val="001D055B"/>
    <w:rsid w:val="001D10BA"/>
    <w:rsid w:val="001D225C"/>
    <w:rsid w:val="001D2508"/>
    <w:rsid w:val="001D27C0"/>
    <w:rsid w:val="001D2B9B"/>
    <w:rsid w:val="001D2D31"/>
    <w:rsid w:val="001D30BA"/>
    <w:rsid w:val="001D32D7"/>
    <w:rsid w:val="001D3725"/>
    <w:rsid w:val="001D4034"/>
    <w:rsid w:val="001D4072"/>
    <w:rsid w:val="001D4D10"/>
    <w:rsid w:val="001D4D47"/>
    <w:rsid w:val="001D6454"/>
    <w:rsid w:val="001D704C"/>
    <w:rsid w:val="001D7212"/>
    <w:rsid w:val="001D765D"/>
    <w:rsid w:val="001D7C65"/>
    <w:rsid w:val="001E2825"/>
    <w:rsid w:val="001E32C0"/>
    <w:rsid w:val="001E452A"/>
    <w:rsid w:val="001E4D83"/>
    <w:rsid w:val="001E5464"/>
    <w:rsid w:val="001E581D"/>
    <w:rsid w:val="001E701A"/>
    <w:rsid w:val="001E72E4"/>
    <w:rsid w:val="001E7CDF"/>
    <w:rsid w:val="001F01EE"/>
    <w:rsid w:val="001F057D"/>
    <w:rsid w:val="001F0CB6"/>
    <w:rsid w:val="001F0E32"/>
    <w:rsid w:val="001F10F0"/>
    <w:rsid w:val="001F18FF"/>
    <w:rsid w:val="001F1A69"/>
    <w:rsid w:val="001F2084"/>
    <w:rsid w:val="001F273C"/>
    <w:rsid w:val="001F2A43"/>
    <w:rsid w:val="001F2BED"/>
    <w:rsid w:val="001F2E49"/>
    <w:rsid w:val="001F3689"/>
    <w:rsid w:val="001F3864"/>
    <w:rsid w:val="001F48DF"/>
    <w:rsid w:val="001F584F"/>
    <w:rsid w:val="001F5A39"/>
    <w:rsid w:val="001F5A7B"/>
    <w:rsid w:val="001F5A99"/>
    <w:rsid w:val="001F5CC6"/>
    <w:rsid w:val="001F71FF"/>
    <w:rsid w:val="00200054"/>
    <w:rsid w:val="002003EA"/>
    <w:rsid w:val="00200AB9"/>
    <w:rsid w:val="00201B37"/>
    <w:rsid w:val="00201EDF"/>
    <w:rsid w:val="00202DA7"/>
    <w:rsid w:val="00202F21"/>
    <w:rsid w:val="00202F95"/>
    <w:rsid w:val="00203678"/>
    <w:rsid w:val="00203FEF"/>
    <w:rsid w:val="002040BE"/>
    <w:rsid w:val="0020421E"/>
    <w:rsid w:val="00204720"/>
    <w:rsid w:val="00204EC4"/>
    <w:rsid w:val="00205377"/>
    <w:rsid w:val="0020562D"/>
    <w:rsid w:val="00205A84"/>
    <w:rsid w:val="00205E6F"/>
    <w:rsid w:val="002064EC"/>
    <w:rsid w:val="00207C57"/>
    <w:rsid w:val="00207FA9"/>
    <w:rsid w:val="00210069"/>
    <w:rsid w:val="002103E7"/>
    <w:rsid w:val="00211121"/>
    <w:rsid w:val="00211208"/>
    <w:rsid w:val="00211786"/>
    <w:rsid w:val="00211864"/>
    <w:rsid w:val="00211C3D"/>
    <w:rsid w:val="002122B8"/>
    <w:rsid w:val="002127FD"/>
    <w:rsid w:val="00213B79"/>
    <w:rsid w:val="00214270"/>
    <w:rsid w:val="002142EC"/>
    <w:rsid w:val="00214FBC"/>
    <w:rsid w:val="00216061"/>
    <w:rsid w:val="00216585"/>
    <w:rsid w:val="00216B2B"/>
    <w:rsid w:val="00216DF6"/>
    <w:rsid w:val="00216E66"/>
    <w:rsid w:val="00217B92"/>
    <w:rsid w:val="002200A7"/>
    <w:rsid w:val="00221FDF"/>
    <w:rsid w:val="002221B6"/>
    <w:rsid w:val="00224634"/>
    <w:rsid w:val="002249AD"/>
    <w:rsid w:val="00224FF3"/>
    <w:rsid w:val="002256F8"/>
    <w:rsid w:val="00226642"/>
    <w:rsid w:val="0023064D"/>
    <w:rsid w:val="00230AB1"/>
    <w:rsid w:val="00231063"/>
    <w:rsid w:val="00231D8D"/>
    <w:rsid w:val="00231F1A"/>
    <w:rsid w:val="0023243B"/>
    <w:rsid w:val="0023244A"/>
    <w:rsid w:val="0023269A"/>
    <w:rsid w:val="00232C12"/>
    <w:rsid w:val="00233126"/>
    <w:rsid w:val="002332B6"/>
    <w:rsid w:val="0023394B"/>
    <w:rsid w:val="00234130"/>
    <w:rsid w:val="00234318"/>
    <w:rsid w:val="0023466D"/>
    <w:rsid w:val="00235938"/>
    <w:rsid w:val="00235F1E"/>
    <w:rsid w:val="00236835"/>
    <w:rsid w:val="00236AC8"/>
    <w:rsid w:val="00237865"/>
    <w:rsid w:val="0024094F"/>
    <w:rsid w:val="00240A1C"/>
    <w:rsid w:val="00241C3C"/>
    <w:rsid w:val="00242CBF"/>
    <w:rsid w:val="00242D02"/>
    <w:rsid w:val="00243CA5"/>
    <w:rsid w:val="00243CDF"/>
    <w:rsid w:val="0024450C"/>
    <w:rsid w:val="00246EAE"/>
    <w:rsid w:val="002473F3"/>
    <w:rsid w:val="0025094A"/>
    <w:rsid w:val="00250B85"/>
    <w:rsid w:val="00251099"/>
    <w:rsid w:val="002510CA"/>
    <w:rsid w:val="00252A6A"/>
    <w:rsid w:val="002532D5"/>
    <w:rsid w:val="0025333D"/>
    <w:rsid w:val="00253481"/>
    <w:rsid w:val="00255501"/>
    <w:rsid w:val="0025586E"/>
    <w:rsid w:val="002566BF"/>
    <w:rsid w:val="00256AB3"/>
    <w:rsid w:val="00257356"/>
    <w:rsid w:val="0025750C"/>
    <w:rsid w:val="002575E8"/>
    <w:rsid w:val="00257971"/>
    <w:rsid w:val="00257DCD"/>
    <w:rsid w:val="00257F68"/>
    <w:rsid w:val="002607F9"/>
    <w:rsid w:val="0026266B"/>
    <w:rsid w:val="00264534"/>
    <w:rsid w:val="00264B35"/>
    <w:rsid w:val="002651D6"/>
    <w:rsid w:val="002657E0"/>
    <w:rsid w:val="00265987"/>
    <w:rsid w:val="00265B7D"/>
    <w:rsid w:val="002660CF"/>
    <w:rsid w:val="0026693B"/>
    <w:rsid w:val="00266E39"/>
    <w:rsid w:val="00267146"/>
    <w:rsid w:val="00267196"/>
    <w:rsid w:val="00267834"/>
    <w:rsid w:val="002704EA"/>
    <w:rsid w:val="00271176"/>
    <w:rsid w:val="0027275A"/>
    <w:rsid w:val="002747CE"/>
    <w:rsid w:val="0027481A"/>
    <w:rsid w:val="002749F1"/>
    <w:rsid w:val="00275121"/>
    <w:rsid w:val="00275673"/>
    <w:rsid w:val="00275E04"/>
    <w:rsid w:val="0027669B"/>
    <w:rsid w:val="00276F3B"/>
    <w:rsid w:val="00277545"/>
    <w:rsid w:val="0028189C"/>
    <w:rsid w:val="00281B3A"/>
    <w:rsid w:val="0028239C"/>
    <w:rsid w:val="0028255B"/>
    <w:rsid w:val="00282D54"/>
    <w:rsid w:val="00283EFE"/>
    <w:rsid w:val="00283F06"/>
    <w:rsid w:val="00284187"/>
    <w:rsid w:val="00284228"/>
    <w:rsid w:val="00285B05"/>
    <w:rsid w:val="002860DF"/>
    <w:rsid w:val="002875CE"/>
    <w:rsid w:val="00287628"/>
    <w:rsid w:val="00287B64"/>
    <w:rsid w:val="00287E30"/>
    <w:rsid w:val="00290CDD"/>
    <w:rsid w:val="002923BA"/>
    <w:rsid w:val="002923DA"/>
    <w:rsid w:val="00292B97"/>
    <w:rsid w:val="002942E5"/>
    <w:rsid w:val="0029455A"/>
    <w:rsid w:val="00296113"/>
    <w:rsid w:val="0029790D"/>
    <w:rsid w:val="002A1517"/>
    <w:rsid w:val="002A1DB7"/>
    <w:rsid w:val="002A1ED7"/>
    <w:rsid w:val="002A300C"/>
    <w:rsid w:val="002A302C"/>
    <w:rsid w:val="002A30F4"/>
    <w:rsid w:val="002A3993"/>
    <w:rsid w:val="002A4281"/>
    <w:rsid w:val="002A43CE"/>
    <w:rsid w:val="002A451A"/>
    <w:rsid w:val="002A52C3"/>
    <w:rsid w:val="002A54C8"/>
    <w:rsid w:val="002A5FBE"/>
    <w:rsid w:val="002A60EB"/>
    <w:rsid w:val="002A6730"/>
    <w:rsid w:val="002A6A51"/>
    <w:rsid w:val="002A725E"/>
    <w:rsid w:val="002A757F"/>
    <w:rsid w:val="002A7A20"/>
    <w:rsid w:val="002A7E8F"/>
    <w:rsid w:val="002B0330"/>
    <w:rsid w:val="002B0502"/>
    <w:rsid w:val="002B0847"/>
    <w:rsid w:val="002B10DD"/>
    <w:rsid w:val="002B1DA2"/>
    <w:rsid w:val="002B2CFD"/>
    <w:rsid w:val="002B2E67"/>
    <w:rsid w:val="002B313D"/>
    <w:rsid w:val="002B31A3"/>
    <w:rsid w:val="002B389D"/>
    <w:rsid w:val="002B3B51"/>
    <w:rsid w:val="002B4868"/>
    <w:rsid w:val="002B4935"/>
    <w:rsid w:val="002B4AEE"/>
    <w:rsid w:val="002B4C90"/>
    <w:rsid w:val="002B4FA6"/>
    <w:rsid w:val="002B5684"/>
    <w:rsid w:val="002B5C8B"/>
    <w:rsid w:val="002B5D35"/>
    <w:rsid w:val="002B621A"/>
    <w:rsid w:val="002C0551"/>
    <w:rsid w:val="002C0941"/>
    <w:rsid w:val="002C09AA"/>
    <w:rsid w:val="002C0C60"/>
    <w:rsid w:val="002C10D5"/>
    <w:rsid w:val="002C183C"/>
    <w:rsid w:val="002C1A87"/>
    <w:rsid w:val="002C1E71"/>
    <w:rsid w:val="002C2EDD"/>
    <w:rsid w:val="002C3205"/>
    <w:rsid w:val="002C4040"/>
    <w:rsid w:val="002C4466"/>
    <w:rsid w:val="002C476B"/>
    <w:rsid w:val="002C49DD"/>
    <w:rsid w:val="002C4DE3"/>
    <w:rsid w:val="002C677B"/>
    <w:rsid w:val="002C75A3"/>
    <w:rsid w:val="002C7ADC"/>
    <w:rsid w:val="002C7FDB"/>
    <w:rsid w:val="002D0434"/>
    <w:rsid w:val="002D0859"/>
    <w:rsid w:val="002D11FD"/>
    <w:rsid w:val="002D165C"/>
    <w:rsid w:val="002D19D7"/>
    <w:rsid w:val="002D2013"/>
    <w:rsid w:val="002D38AB"/>
    <w:rsid w:val="002D4587"/>
    <w:rsid w:val="002D4988"/>
    <w:rsid w:val="002D4BBE"/>
    <w:rsid w:val="002D4CCA"/>
    <w:rsid w:val="002D5048"/>
    <w:rsid w:val="002D591A"/>
    <w:rsid w:val="002D61BF"/>
    <w:rsid w:val="002D65D5"/>
    <w:rsid w:val="002D6D39"/>
    <w:rsid w:val="002D7A84"/>
    <w:rsid w:val="002E0725"/>
    <w:rsid w:val="002E0A39"/>
    <w:rsid w:val="002E0CB8"/>
    <w:rsid w:val="002E11B1"/>
    <w:rsid w:val="002E13C2"/>
    <w:rsid w:val="002E27BE"/>
    <w:rsid w:val="002E289B"/>
    <w:rsid w:val="002E3570"/>
    <w:rsid w:val="002E36FC"/>
    <w:rsid w:val="002E3DE2"/>
    <w:rsid w:val="002E449E"/>
    <w:rsid w:val="002E4ACE"/>
    <w:rsid w:val="002E50ED"/>
    <w:rsid w:val="002E62B1"/>
    <w:rsid w:val="002E70A0"/>
    <w:rsid w:val="002F02D9"/>
    <w:rsid w:val="002F0B98"/>
    <w:rsid w:val="002F1035"/>
    <w:rsid w:val="002F10E5"/>
    <w:rsid w:val="002F199C"/>
    <w:rsid w:val="002F1ABC"/>
    <w:rsid w:val="002F1CD5"/>
    <w:rsid w:val="002F1FC9"/>
    <w:rsid w:val="002F2564"/>
    <w:rsid w:val="002F3076"/>
    <w:rsid w:val="002F320C"/>
    <w:rsid w:val="002F4445"/>
    <w:rsid w:val="002F4B56"/>
    <w:rsid w:val="002F522E"/>
    <w:rsid w:val="002F5421"/>
    <w:rsid w:val="002F5B63"/>
    <w:rsid w:val="002F62CC"/>
    <w:rsid w:val="002F778A"/>
    <w:rsid w:val="00301303"/>
    <w:rsid w:val="0030131A"/>
    <w:rsid w:val="00301589"/>
    <w:rsid w:val="00301DE0"/>
    <w:rsid w:val="00303EF1"/>
    <w:rsid w:val="003053AC"/>
    <w:rsid w:val="00310466"/>
    <w:rsid w:val="00310E1F"/>
    <w:rsid w:val="003116C7"/>
    <w:rsid w:val="0031381E"/>
    <w:rsid w:val="00313921"/>
    <w:rsid w:val="00314E67"/>
    <w:rsid w:val="00315501"/>
    <w:rsid w:val="003155AE"/>
    <w:rsid w:val="00315A98"/>
    <w:rsid w:val="00316268"/>
    <w:rsid w:val="003169D3"/>
    <w:rsid w:val="003169F3"/>
    <w:rsid w:val="00316A90"/>
    <w:rsid w:val="00316E98"/>
    <w:rsid w:val="00316EA0"/>
    <w:rsid w:val="0032035D"/>
    <w:rsid w:val="00320A83"/>
    <w:rsid w:val="00321539"/>
    <w:rsid w:val="00321A70"/>
    <w:rsid w:val="00321D2C"/>
    <w:rsid w:val="00321FBD"/>
    <w:rsid w:val="003229C0"/>
    <w:rsid w:val="00322C4A"/>
    <w:rsid w:val="00323CF9"/>
    <w:rsid w:val="00324631"/>
    <w:rsid w:val="0032493D"/>
    <w:rsid w:val="003259B2"/>
    <w:rsid w:val="0032601C"/>
    <w:rsid w:val="003265F4"/>
    <w:rsid w:val="00330E06"/>
    <w:rsid w:val="0033150D"/>
    <w:rsid w:val="0033203D"/>
    <w:rsid w:val="00332386"/>
    <w:rsid w:val="00333525"/>
    <w:rsid w:val="00333845"/>
    <w:rsid w:val="003344A1"/>
    <w:rsid w:val="003347C7"/>
    <w:rsid w:val="003350C4"/>
    <w:rsid w:val="00335932"/>
    <w:rsid w:val="00335E50"/>
    <w:rsid w:val="00336809"/>
    <w:rsid w:val="00336BC8"/>
    <w:rsid w:val="00336C45"/>
    <w:rsid w:val="00336D77"/>
    <w:rsid w:val="00337DA1"/>
    <w:rsid w:val="00340E36"/>
    <w:rsid w:val="003411A7"/>
    <w:rsid w:val="00342ACC"/>
    <w:rsid w:val="0034342B"/>
    <w:rsid w:val="00343669"/>
    <w:rsid w:val="0034385F"/>
    <w:rsid w:val="00344246"/>
    <w:rsid w:val="00344589"/>
    <w:rsid w:val="00344DBF"/>
    <w:rsid w:val="0034522A"/>
    <w:rsid w:val="00345EE7"/>
    <w:rsid w:val="00346371"/>
    <w:rsid w:val="0034695A"/>
    <w:rsid w:val="003474B0"/>
    <w:rsid w:val="00347AEB"/>
    <w:rsid w:val="003502B4"/>
    <w:rsid w:val="00350720"/>
    <w:rsid w:val="003509B6"/>
    <w:rsid w:val="00350F8A"/>
    <w:rsid w:val="00351061"/>
    <w:rsid w:val="00351832"/>
    <w:rsid w:val="0035189E"/>
    <w:rsid w:val="003520E1"/>
    <w:rsid w:val="003537A1"/>
    <w:rsid w:val="003537C9"/>
    <w:rsid w:val="00353A8F"/>
    <w:rsid w:val="00354ED3"/>
    <w:rsid w:val="00355436"/>
    <w:rsid w:val="00355FAB"/>
    <w:rsid w:val="00356137"/>
    <w:rsid w:val="00356A91"/>
    <w:rsid w:val="0035700B"/>
    <w:rsid w:val="00357E27"/>
    <w:rsid w:val="00357E8C"/>
    <w:rsid w:val="003611A3"/>
    <w:rsid w:val="003617DD"/>
    <w:rsid w:val="00362A41"/>
    <w:rsid w:val="00362BAE"/>
    <w:rsid w:val="00363122"/>
    <w:rsid w:val="00364004"/>
    <w:rsid w:val="00364093"/>
    <w:rsid w:val="003640F6"/>
    <w:rsid w:val="003647B8"/>
    <w:rsid w:val="003647BF"/>
    <w:rsid w:val="00364EC9"/>
    <w:rsid w:val="0036577E"/>
    <w:rsid w:val="00365E3E"/>
    <w:rsid w:val="00365FCE"/>
    <w:rsid w:val="00366DA9"/>
    <w:rsid w:val="00367BCF"/>
    <w:rsid w:val="003702C8"/>
    <w:rsid w:val="00370883"/>
    <w:rsid w:val="00370932"/>
    <w:rsid w:val="00373000"/>
    <w:rsid w:val="00373A25"/>
    <w:rsid w:val="00374213"/>
    <w:rsid w:val="0037483F"/>
    <w:rsid w:val="00374957"/>
    <w:rsid w:val="00375961"/>
    <w:rsid w:val="00375FFC"/>
    <w:rsid w:val="0037666E"/>
    <w:rsid w:val="00376837"/>
    <w:rsid w:val="00376F96"/>
    <w:rsid w:val="003771CF"/>
    <w:rsid w:val="00380DF9"/>
    <w:rsid w:val="003814BF"/>
    <w:rsid w:val="003815A8"/>
    <w:rsid w:val="00381A28"/>
    <w:rsid w:val="00381E55"/>
    <w:rsid w:val="00382C52"/>
    <w:rsid w:val="00383614"/>
    <w:rsid w:val="00383BC0"/>
    <w:rsid w:val="003843F6"/>
    <w:rsid w:val="00384C06"/>
    <w:rsid w:val="00384F6C"/>
    <w:rsid w:val="003851BA"/>
    <w:rsid w:val="00385E5B"/>
    <w:rsid w:val="00385F18"/>
    <w:rsid w:val="0038613C"/>
    <w:rsid w:val="00386A3E"/>
    <w:rsid w:val="003879F5"/>
    <w:rsid w:val="003901A6"/>
    <w:rsid w:val="003901D5"/>
    <w:rsid w:val="00390586"/>
    <w:rsid w:val="00390816"/>
    <w:rsid w:val="00390C37"/>
    <w:rsid w:val="00391369"/>
    <w:rsid w:val="003915F3"/>
    <w:rsid w:val="00391960"/>
    <w:rsid w:val="003919E7"/>
    <w:rsid w:val="00391E77"/>
    <w:rsid w:val="00392448"/>
    <w:rsid w:val="0039354B"/>
    <w:rsid w:val="00393DD9"/>
    <w:rsid w:val="00393F89"/>
    <w:rsid w:val="00394DAF"/>
    <w:rsid w:val="003953C0"/>
    <w:rsid w:val="00395922"/>
    <w:rsid w:val="003965B5"/>
    <w:rsid w:val="00396BE1"/>
    <w:rsid w:val="003971DE"/>
    <w:rsid w:val="00397418"/>
    <w:rsid w:val="003977CE"/>
    <w:rsid w:val="00397B18"/>
    <w:rsid w:val="003A0690"/>
    <w:rsid w:val="003A25D2"/>
    <w:rsid w:val="003A2F43"/>
    <w:rsid w:val="003A2FEA"/>
    <w:rsid w:val="003A44B2"/>
    <w:rsid w:val="003A45CC"/>
    <w:rsid w:val="003A50C2"/>
    <w:rsid w:val="003A59D1"/>
    <w:rsid w:val="003A626E"/>
    <w:rsid w:val="003A6F24"/>
    <w:rsid w:val="003A7011"/>
    <w:rsid w:val="003A7117"/>
    <w:rsid w:val="003B16F2"/>
    <w:rsid w:val="003B1B85"/>
    <w:rsid w:val="003B1F4D"/>
    <w:rsid w:val="003B21D2"/>
    <w:rsid w:val="003B30E7"/>
    <w:rsid w:val="003B33BA"/>
    <w:rsid w:val="003B3D05"/>
    <w:rsid w:val="003B3D61"/>
    <w:rsid w:val="003B4DC7"/>
    <w:rsid w:val="003B6757"/>
    <w:rsid w:val="003B67D4"/>
    <w:rsid w:val="003B70CD"/>
    <w:rsid w:val="003B7621"/>
    <w:rsid w:val="003B7B72"/>
    <w:rsid w:val="003C0E5B"/>
    <w:rsid w:val="003C1022"/>
    <w:rsid w:val="003C1292"/>
    <w:rsid w:val="003C15D4"/>
    <w:rsid w:val="003C2004"/>
    <w:rsid w:val="003C2174"/>
    <w:rsid w:val="003C2182"/>
    <w:rsid w:val="003C2E0C"/>
    <w:rsid w:val="003C34EC"/>
    <w:rsid w:val="003C35B7"/>
    <w:rsid w:val="003C3EE2"/>
    <w:rsid w:val="003C4DB8"/>
    <w:rsid w:val="003C52DA"/>
    <w:rsid w:val="003C55A6"/>
    <w:rsid w:val="003C5DD6"/>
    <w:rsid w:val="003C6280"/>
    <w:rsid w:val="003C70F0"/>
    <w:rsid w:val="003D09BE"/>
    <w:rsid w:val="003D0EC4"/>
    <w:rsid w:val="003D122E"/>
    <w:rsid w:val="003D15B2"/>
    <w:rsid w:val="003D233C"/>
    <w:rsid w:val="003D26C0"/>
    <w:rsid w:val="003D2A15"/>
    <w:rsid w:val="003D3552"/>
    <w:rsid w:val="003D38F5"/>
    <w:rsid w:val="003D39EA"/>
    <w:rsid w:val="003D3CCF"/>
    <w:rsid w:val="003D3D4C"/>
    <w:rsid w:val="003D4075"/>
    <w:rsid w:val="003D4665"/>
    <w:rsid w:val="003D545D"/>
    <w:rsid w:val="003D6E1E"/>
    <w:rsid w:val="003D729A"/>
    <w:rsid w:val="003D72F3"/>
    <w:rsid w:val="003D7B87"/>
    <w:rsid w:val="003D7DD7"/>
    <w:rsid w:val="003E04D7"/>
    <w:rsid w:val="003E0AFB"/>
    <w:rsid w:val="003E0B87"/>
    <w:rsid w:val="003E1480"/>
    <w:rsid w:val="003E221F"/>
    <w:rsid w:val="003E3D31"/>
    <w:rsid w:val="003E47D4"/>
    <w:rsid w:val="003E6179"/>
    <w:rsid w:val="003E6ED3"/>
    <w:rsid w:val="003E7286"/>
    <w:rsid w:val="003F0527"/>
    <w:rsid w:val="003F0C7E"/>
    <w:rsid w:val="003F11B8"/>
    <w:rsid w:val="003F1826"/>
    <w:rsid w:val="003F1A25"/>
    <w:rsid w:val="003F2552"/>
    <w:rsid w:val="003F27AA"/>
    <w:rsid w:val="003F2CC1"/>
    <w:rsid w:val="003F4769"/>
    <w:rsid w:val="003F560C"/>
    <w:rsid w:val="003F5634"/>
    <w:rsid w:val="003F58D2"/>
    <w:rsid w:val="003F62B6"/>
    <w:rsid w:val="003F66D6"/>
    <w:rsid w:val="003F6849"/>
    <w:rsid w:val="003F70EF"/>
    <w:rsid w:val="003F7513"/>
    <w:rsid w:val="003F775B"/>
    <w:rsid w:val="003F7DEB"/>
    <w:rsid w:val="00400236"/>
    <w:rsid w:val="00400573"/>
    <w:rsid w:val="0040061B"/>
    <w:rsid w:val="00400D84"/>
    <w:rsid w:val="00402D3B"/>
    <w:rsid w:val="00402F90"/>
    <w:rsid w:val="00406FA8"/>
    <w:rsid w:val="00407F9A"/>
    <w:rsid w:val="004106F1"/>
    <w:rsid w:val="00410E9D"/>
    <w:rsid w:val="00412E5A"/>
    <w:rsid w:val="0041321B"/>
    <w:rsid w:val="004139AF"/>
    <w:rsid w:val="00414B9B"/>
    <w:rsid w:val="004154D1"/>
    <w:rsid w:val="00415A29"/>
    <w:rsid w:val="00415CFE"/>
    <w:rsid w:val="00416485"/>
    <w:rsid w:val="00416690"/>
    <w:rsid w:val="004167EC"/>
    <w:rsid w:val="00416858"/>
    <w:rsid w:val="0041730C"/>
    <w:rsid w:val="004173FF"/>
    <w:rsid w:val="0041786C"/>
    <w:rsid w:val="00417CDA"/>
    <w:rsid w:val="0042071C"/>
    <w:rsid w:val="00420B8F"/>
    <w:rsid w:val="00422556"/>
    <w:rsid w:val="004227B4"/>
    <w:rsid w:val="0042294F"/>
    <w:rsid w:val="00423CB9"/>
    <w:rsid w:val="00424F52"/>
    <w:rsid w:val="004254CA"/>
    <w:rsid w:val="004263FE"/>
    <w:rsid w:val="0042648D"/>
    <w:rsid w:val="00426510"/>
    <w:rsid w:val="004276F4"/>
    <w:rsid w:val="00427B1E"/>
    <w:rsid w:val="004306C9"/>
    <w:rsid w:val="0043142C"/>
    <w:rsid w:val="00431994"/>
    <w:rsid w:val="004323AA"/>
    <w:rsid w:val="00432694"/>
    <w:rsid w:val="00433381"/>
    <w:rsid w:val="00434174"/>
    <w:rsid w:val="00434B86"/>
    <w:rsid w:val="00435848"/>
    <w:rsid w:val="004361D3"/>
    <w:rsid w:val="004362F5"/>
    <w:rsid w:val="004365FA"/>
    <w:rsid w:val="00436644"/>
    <w:rsid w:val="00437EA5"/>
    <w:rsid w:val="004401A3"/>
    <w:rsid w:val="004402FA"/>
    <w:rsid w:val="004404B4"/>
    <w:rsid w:val="00441111"/>
    <w:rsid w:val="004418F7"/>
    <w:rsid w:val="00441F6D"/>
    <w:rsid w:val="004421AC"/>
    <w:rsid w:val="00442AF2"/>
    <w:rsid w:val="00443374"/>
    <w:rsid w:val="0044433D"/>
    <w:rsid w:val="004456F8"/>
    <w:rsid w:val="004462BE"/>
    <w:rsid w:val="00446A2C"/>
    <w:rsid w:val="004475FC"/>
    <w:rsid w:val="00447BDB"/>
    <w:rsid w:val="004506E1"/>
    <w:rsid w:val="00450C21"/>
    <w:rsid w:val="0045133A"/>
    <w:rsid w:val="004513E6"/>
    <w:rsid w:val="004515A2"/>
    <w:rsid w:val="004527E3"/>
    <w:rsid w:val="004553A1"/>
    <w:rsid w:val="00455566"/>
    <w:rsid w:val="00455D2D"/>
    <w:rsid w:val="004562BB"/>
    <w:rsid w:val="00456BC6"/>
    <w:rsid w:val="00457C5F"/>
    <w:rsid w:val="00457D69"/>
    <w:rsid w:val="00457EFE"/>
    <w:rsid w:val="0046038D"/>
    <w:rsid w:val="00460BCF"/>
    <w:rsid w:val="004613C7"/>
    <w:rsid w:val="00461C72"/>
    <w:rsid w:val="00461D72"/>
    <w:rsid w:val="00462051"/>
    <w:rsid w:val="00462AA9"/>
    <w:rsid w:val="00462B26"/>
    <w:rsid w:val="00463239"/>
    <w:rsid w:val="00463D1D"/>
    <w:rsid w:val="00466C3E"/>
    <w:rsid w:val="00466E59"/>
    <w:rsid w:val="00467193"/>
    <w:rsid w:val="004671DF"/>
    <w:rsid w:val="004674E1"/>
    <w:rsid w:val="00467BAD"/>
    <w:rsid w:val="00467CAB"/>
    <w:rsid w:val="00470AD2"/>
    <w:rsid w:val="00471013"/>
    <w:rsid w:val="00471438"/>
    <w:rsid w:val="0047166F"/>
    <w:rsid w:val="00473013"/>
    <w:rsid w:val="00473CFC"/>
    <w:rsid w:val="0047470E"/>
    <w:rsid w:val="00474BA1"/>
    <w:rsid w:val="00474C84"/>
    <w:rsid w:val="00475221"/>
    <w:rsid w:val="004757E8"/>
    <w:rsid w:val="004767AA"/>
    <w:rsid w:val="004768FE"/>
    <w:rsid w:val="004769A4"/>
    <w:rsid w:val="00477756"/>
    <w:rsid w:val="00477D26"/>
    <w:rsid w:val="004801DE"/>
    <w:rsid w:val="00480783"/>
    <w:rsid w:val="004809D6"/>
    <w:rsid w:val="00481BDB"/>
    <w:rsid w:val="00482D3A"/>
    <w:rsid w:val="00482EDB"/>
    <w:rsid w:val="00483AB1"/>
    <w:rsid w:val="00483AD2"/>
    <w:rsid w:val="00483E27"/>
    <w:rsid w:val="00484F9B"/>
    <w:rsid w:val="00485490"/>
    <w:rsid w:val="004907B6"/>
    <w:rsid w:val="0049149E"/>
    <w:rsid w:val="0049153A"/>
    <w:rsid w:val="00491CCB"/>
    <w:rsid w:val="00492E4F"/>
    <w:rsid w:val="00493788"/>
    <w:rsid w:val="00494477"/>
    <w:rsid w:val="00494FA9"/>
    <w:rsid w:val="00495883"/>
    <w:rsid w:val="00495E65"/>
    <w:rsid w:val="00496158"/>
    <w:rsid w:val="00496300"/>
    <w:rsid w:val="004963F3"/>
    <w:rsid w:val="00496537"/>
    <w:rsid w:val="00496912"/>
    <w:rsid w:val="00496B46"/>
    <w:rsid w:val="00497C6D"/>
    <w:rsid w:val="004A0516"/>
    <w:rsid w:val="004A0A42"/>
    <w:rsid w:val="004A245A"/>
    <w:rsid w:val="004A2CF8"/>
    <w:rsid w:val="004A2FEF"/>
    <w:rsid w:val="004A321A"/>
    <w:rsid w:val="004A3235"/>
    <w:rsid w:val="004A3547"/>
    <w:rsid w:val="004A3F4E"/>
    <w:rsid w:val="004A435C"/>
    <w:rsid w:val="004A4779"/>
    <w:rsid w:val="004A47DE"/>
    <w:rsid w:val="004A4B28"/>
    <w:rsid w:val="004A534C"/>
    <w:rsid w:val="004A5C10"/>
    <w:rsid w:val="004A68D2"/>
    <w:rsid w:val="004A6C03"/>
    <w:rsid w:val="004A759B"/>
    <w:rsid w:val="004A7B0B"/>
    <w:rsid w:val="004A7FFB"/>
    <w:rsid w:val="004B05E2"/>
    <w:rsid w:val="004B0679"/>
    <w:rsid w:val="004B1334"/>
    <w:rsid w:val="004B151A"/>
    <w:rsid w:val="004B1C7F"/>
    <w:rsid w:val="004B2466"/>
    <w:rsid w:val="004B2673"/>
    <w:rsid w:val="004B2B1E"/>
    <w:rsid w:val="004B3006"/>
    <w:rsid w:val="004B3220"/>
    <w:rsid w:val="004B40AE"/>
    <w:rsid w:val="004B53B6"/>
    <w:rsid w:val="004B5CF0"/>
    <w:rsid w:val="004B6166"/>
    <w:rsid w:val="004B61DE"/>
    <w:rsid w:val="004B69D8"/>
    <w:rsid w:val="004B6A5F"/>
    <w:rsid w:val="004B7AD6"/>
    <w:rsid w:val="004C12F9"/>
    <w:rsid w:val="004C1621"/>
    <w:rsid w:val="004C220B"/>
    <w:rsid w:val="004C23BF"/>
    <w:rsid w:val="004C2D05"/>
    <w:rsid w:val="004C2D3C"/>
    <w:rsid w:val="004C4B9A"/>
    <w:rsid w:val="004C4D75"/>
    <w:rsid w:val="004C5527"/>
    <w:rsid w:val="004C568A"/>
    <w:rsid w:val="004C56E3"/>
    <w:rsid w:val="004C5761"/>
    <w:rsid w:val="004C5897"/>
    <w:rsid w:val="004C58AE"/>
    <w:rsid w:val="004C58C5"/>
    <w:rsid w:val="004C5A9C"/>
    <w:rsid w:val="004C5D21"/>
    <w:rsid w:val="004C6FFB"/>
    <w:rsid w:val="004C7C48"/>
    <w:rsid w:val="004D12D3"/>
    <w:rsid w:val="004D1A47"/>
    <w:rsid w:val="004D2570"/>
    <w:rsid w:val="004D2909"/>
    <w:rsid w:val="004D341C"/>
    <w:rsid w:val="004D341E"/>
    <w:rsid w:val="004D3557"/>
    <w:rsid w:val="004D3912"/>
    <w:rsid w:val="004D43F5"/>
    <w:rsid w:val="004D4513"/>
    <w:rsid w:val="004D49EC"/>
    <w:rsid w:val="004D4B59"/>
    <w:rsid w:val="004D5392"/>
    <w:rsid w:val="004D5CC2"/>
    <w:rsid w:val="004D5F6F"/>
    <w:rsid w:val="004D6753"/>
    <w:rsid w:val="004D678F"/>
    <w:rsid w:val="004D6981"/>
    <w:rsid w:val="004D6ECA"/>
    <w:rsid w:val="004D755E"/>
    <w:rsid w:val="004E0ACA"/>
    <w:rsid w:val="004E2197"/>
    <w:rsid w:val="004E258E"/>
    <w:rsid w:val="004E273A"/>
    <w:rsid w:val="004E274B"/>
    <w:rsid w:val="004E3A4D"/>
    <w:rsid w:val="004E41B4"/>
    <w:rsid w:val="004E59F4"/>
    <w:rsid w:val="004E6041"/>
    <w:rsid w:val="004E6601"/>
    <w:rsid w:val="004E6A3F"/>
    <w:rsid w:val="004E6DE1"/>
    <w:rsid w:val="004E75BA"/>
    <w:rsid w:val="004F01AB"/>
    <w:rsid w:val="004F0F46"/>
    <w:rsid w:val="004F102A"/>
    <w:rsid w:val="004F1B11"/>
    <w:rsid w:val="004F2084"/>
    <w:rsid w:val="004F2512"/>
    <w:rsid w:val="004F30A6"/>
    <w:rsid w:val="004F3864"/>
    <w:rsid w:val="004F39B4"/>
    <w:rsid w:val="004F40E3"/>
    <w:rsid w:val="004F420E"/>
    <w:rsid w:val="004F42CC"/>
    <w:rsid w:val="004F5B23"/>
    <w:rsid w:val="004F5E07"/>
    <w:rsid w:val="004F5F02"/>
    <w:rsid w:val="004F641F"/>
    <w:rsid w:val="004F6700"/>
    <w:rsid w:val="00500F3F"/>
    <w:rsid w:val="00500F49"/>
    <w:rsid w:val="0050131A"/>
    <w:rsid w:val="005019D6"/>
    <w:rsid w:val="00501AAF"/>
    <w:rsid w:val="00502358"/>
    <w:rsid w:val="0050238F"/>
    <w:rsid w:val="005024ED"/>
    <w:rsid w:val="0050311D"/>
    <w:rsid w:val="0050328E"/>
    <w:rsid w:val="005034A9"/>
    <w:rsid w:val="00504507"/>
    <w:rsid w:val="0050459D"/>
    <w:rsid w:val="00504769"/>
    <w:rsid w:val="005049AD"/>
    <w:rsid w:val="00504A49"/>
    <w:rsid w:val="00504BA5"/>
    <w:rsid w:val="0050548B"/>
    <w:rsid w:val="005054F6"/>
    <w:rsid w:val="00506F69"/>
    <w:rsid w:val="005079FF"/>
    <w:rsid w:val="00507A28"/>
    <w:rsid w:val="00510B15"/>
    <w:rsid w:val="00510E77"/>
    <w:rsid w:val="005136FC"/>
    <w:rsid w:val="0051489D"/>
    <w:rsid w:val="005149FE"/>
    <w:rsid w:val="0051595B"/>
    <w:rsid w:val="00515AFB"/>
    <w:rsid w:val="00515E45"/>
    <w:rsid w:val="005165B7"/>
    <w:rsid w:val="00516B23"/>
    <w:rsid w:val="00517444"/>
    <w:rsid w:val="00520E96"/>
    <w:rsid w:val="005217D6"/>
    <w:rsid w:val="00521A20"/>
    <w:rsid w:val="00521E66"/>
    <w:rsid w:val="00522164"/>
    <w:rsid w:val="00522210"/>
    <w:rsid w:val="0052252A"/>
    <w:rsid w:val="00522718"/>
    <w:rsid w:val="00522831"/>
    <w:rsid w:val="00522B6E"/>
    <w:rsid w:val="00522C3D"/>
    <w:rsid w:val="005237AB"/>
    <w:rsid w:val="00524555"/>
    <w:rsid w:val="005246E0"/>
    <w:rsid w:val="00524D25"/>
    <w:rsid w:val="0052508C"/>
    <w:rsid w:val="00527071"/>
    <w:rsid w:val="005270DE"/>
    <w:rsid w:val="0052769E"/>
    <w:rsid w:val="00530AF2"/>
    <w:rsid w:val="00530DD1"/>
    <w:rsid w:val="00530F12"/>
    <w:rsid w:val="00531117"/>
    <w:rsid w:val="005311A8"/>
    <w:rsid w:val="00531851"/>
    <w:rsid w:val="00531EC9"/>
    <w:rsid w:val="0053246F"/>
    <w:rsid w:val="00532DAA"/>
    <w:rsid w:val="00532E63"/>
    <w:rsid w:val="00533192"/>
    <w:rsid w:val="00533311"/>
    <w:rsid w:val="0053387E"/>
    <w:rsid w:val="00535768"/>
    <w:rsid w:val="005359F1"/>
    <w:rsid w:val="00535A69"/>
    <w:rsid w:val="00535F8E"/>
    <w:rsid w:val="0053622F"/>
    <w:rsid w:val="005363C7"/>
    <w:rsid w:val="005364A5"/>
    <w:rsid w:val="00536684"/>
    <w:rsid w:val="00536A23"/>
    <w:rsid w:val="005403F6"/>
    <w:rsid w:val="00540502"/>
    <w:rsid w:val="005405CE"/>
    <w:rsid w:val="00540846"/>
    <w:rsid w:val="00540935"/>
    <w:rsid w:val="00540C67"/>
    <w:rsid w:val="00541AEF"/>
    <w:rsid w:val="00541D41"/>
    <w:rsid w:val="00542C48"/>
    <w:rsid w:val="00543F28"/>
    <w:rsid w:val="00543F5F"/>
    <w:rsid w:val="005442E8"/>
    <w:rsid w:val="00544B96"/>
    <w:rsid w:val="00544EF1"/>
    <w:rsid w:val="0054553E"/>
    <w:rsid w:val="0054574F"/>
    <w:rsid w:val="005459C6"/>
    <w:rsid w:val="00545AAB"/>
    <w:rsid w:val="0054635D"/>
    <w:rsid w:val="00547509"/>
    <w:rsid w:val="00547897"/>
    <w:rsid w:val="00547E46"/>
    <w:rsid w:val="0055036D"/>
    <w:rsid w:val="0055041C"/>
    <w:rsid w:val="0055047C"/>
    <w:rsid w:val="0055173D"/>
    <w:rsid w:val="00551871"/>
    <w:rsid w:val="005518E6"/>
    <w:rsid w:val="00551936"/>
    <w:rsid w:val="00552B52"/>
    <w:rsid w:val="00553575"/>
    <w:rsid w:val="005537A4"/>
    <w:rsid w:val="00553E6D"/>
    <w:rsid w:val="0055492C"/>
    <w:rsid w:val="00554D1A"/>
    <w:rsid w:val="00554D47"/>
    <w:rsid w:val="005559D2"/>
    <w:rsid w:val="00555E3D"/>
    <w:rsid w:val="00556407"/>
    <w:rsid w:val="005579F0"/>
    <w:rsid w:val="005605B9"/>
    <w:rsid w:val="0056088E"/>
    <w:rsid w:val="00560AB2"/>
    <w:rsid w:val="00560C10"/>
    <w:rsid w:val="00560C56"/>
    <w:rsid w:val="00563479"/>
    <w:rsid w:val="0056490D"/>
    <w:rsid w:val="00565DFC"/>
    <w:rsid w:val="00565E0B"/>
    <w:rsid w:val="00566C48"/>
    <w:rsid w:val="00570067"/>
    <w:rsid w:val="00570763"/>
    <w:rsid w:val="005709DC"/>
    <w:rsid w:val="005716CD"/>
    <w:rsid w:val="00572AF4"/>
    <w:rsid w:val="00572C05"/>
    <w:rsid w:val="0057373F"/>
    <w:rsid w:val="00574425"/>
    <w:rsid w:val="005746EF"/>
    <w:rsid w:val="00574783"/>
    <w:rsid w:val="00575D59"/>
    <w:rsid w:val="00576856"/>
    <w:rsid w:val="005770BB"/>
    <w:rsid w:val="0057733C"/>
    <w:rsid w:val="0058023A"/>
    <w:rsid w:val="00580C77"/>
    <w:rsid w:val="00581DDD"/>
    <w:rsid w:val="00582A48"/>
    <w:rsid w:val="00583CE6"/>
    <w:rsid w:val="00583F6C"/>
    <w:rsid w:val="00584133"/>
    <w:rsid w:val="00584205"/>
    <w:rsid w:val="005848A1"/>
    <w:rsid w:val="00584F88"/>
    <w:rsid w:val="00585608"/>
    <w:rsid w:val="00586717"/>
    <w:rsid w:val="00586827"/>
    <w:rsid w:val="00587436"/>
    <w:rsid w:val="005902F6"/>
    <w:rsid w:val="0059043C"/>
    <w:rsid w:val="0059106C"/>
    <w:rsid w:val="005919B5"/>
    <w:rsid w:val="00591CFF"/>
    <w:rsid w:val="00591EC8"/>
    <w:rsid w:val="00592677"/>
    <w:rsid w:val="00592D79"/>
    <w:rsid w:val="00593451"/>
    <w:rsid w:val="00593CA4"/>
    <w:rsid w:val="00594184"/>
    <w:rsid w:val="0059438F"/>
    <w:rsid w:val="00594A65"/>
    <w:rsid w:val="005962A7"/>
    <w:rsid w:val="0059665C"/>
    <w:rsid w:val="00596C10"/>
    <w:rsid w:val="00597954"/>
    <w:rsid w:val="005A08B3"/>
    <w:rsid w:val="005A1C6E"/>
    <w:rsid w:val="005A2394"/>
    <w:rsid w:val="005A2D67"/>
    <w:rsid w:val="005A42A9"/>
    <w:rsid w:val="005A4AF8"/>
    <w:rsid w:val="005A4DEB"/>
    <w:rsid w:val="005A56A1"/>
    <w:rsid w:val="005A5929"/>
    <w:rsid w:val="005A5ABA"/>
    <w:rsid w:val="005A5DC0"/>
    <w:rsid w:val="005A6AA6"/>
    <w:rsid w:val="005A6B08"/>
    <w:rsid w:val="005A6FFD"/>
    <w:rsid w:val="005A7D07"/>
    <w:rsid w:val="005B0617"/>
    <w:rsid w:val="005B2C02"/>
    <w:rsid w:val="005B332B"/>
    <w:rsid w:val="005B34B6"/>
    <w:rsid w:val="005B424C"/>
    <w:rsid w:val="005B4686"/>
    <w:rsid w:val="005B57EA"/>
    <w:rsid w:val="005B694B"/>
    <w:rsid w:val="005B6B79"/>
    <w:rsid w:val="005B6F4B"/>
    <w:rsid w:val="005B71F5"/>
    <w:rsid w:val="005B7659"/>
    <w:rsid w:val="005B765C"/>
    <w:rsid w:val="005C15C6"/>
    <w:rsid w:val="005C2EA3"/>
    <w:rsid w:val="005C342A"/>
    <w:rsid w:val="005C3495"/>
    <w:rsid w:val="005C53C6"/>
    <w:rsid w:val="005C5C04"/>
    <w:rsid w:val="005C5E09"/>
    <w:rsid w:val="005C63AC"/>
    <w:rsid w:val="005C64D6"/>
    <w:rsid w:val="005C6822"/>
    <w:rsid w:val="005C6874"/>
    <w:rsid w:val="005C694B"/>
    <w:rsid w:val="005C6BD7"/>
    <w:rsid w:val="005D1AAC"/>
    <w:rsid w:val="005D1D5A"/>
    <w:rsid w:val="005D1E96"/>
    <w:rsid w:val="005D2499"/>
    <w:rsid w:val="005D324C"/>
    <w:rsid w:val="005D45EC"/>
    <w:rsid w:val="005D46D9"/>
    <w:rsid w:val="005D48C2"/>
    <w:rsid w:val="005D6665"/>
    <w:rsid w:val="005D6B19"/>
    <w:rsid w:val="005D6B33"/>
    <w:rsid w:val="005D6D0F"/>
    <w:rsid w:val="005E0542"/>
    <w:rsid w:val="005E0549"/>
    <w:rsid w:val="005E07CB"/>
    <w:rsid w:val="005E2296"/>
    <w:rsid w:val="005E321B"/>
    <w:rsid w:val="005E331D"/>
    <w:rsid w:val="005E3A27"/>
    <w:rsid w:val="005E45C4"/>
    <w:rsid w:val="005E4903"/>
    <w:rsid w:val="005E54D3"/>
    <w:rsid w:val="005E5A89"/>
    <w:rsid w:val="005E5E11"/>
    <w:rsid w:val="005E66A8"/>
    <w:rsid w:val="005E7343"/>
    <w:rsid w:val="005E773E"/>
    <w:rsid w:val="005F008B"/>
    <w:rsid w:val="005F024C"/>
    <w:rsid w:val="005F02E5"/>
    <w:rsid w:val="005F0E9F"/>
    <w:rsid w:val="005F1481"/>
    <w:rsid w:val="005F22E3"/>
    <w:rsid w:val="005F302B"/>
    <w:rsid w:val="005F4882"/>
    <w:rsid w:val="005F4F27"/>
    <w:rsid w:val="005F5656"/>
    <w:rsid w:val="005F5704"/>
    <w:rsid w:val="005F5746"/>
    <w:rsid w:val="005F575B"/>
    <w:rsid w:val="005F7392"/>
    <w:rsid w:val="005F793F"/>
    <w:rsid w:val="00600744"/>
    <w:rsid w:val="00600804"/>
    <w:rsid w:val="00601041"/>
    <w:rsid w:val="0060109B"/>
    <w:rsid w:val="006017D8"/>
    <w:rsid w:val="0060279E"/>
    <w:rsid w:val="006029FA"/>
    <w:rsid w:val="0060389F"/>
    <w:rsid w:val="00603959"/>
    <w:rsid w:val="00605DD8"/>
    <w:rsid w:val="00606513"/>
    <w:rsid w:val="00606DE0"/>
    <w:rsid w:val="00607056"/>
    <w:rsid w:val="00607C1F"/>
    <w:rsid w:val="00610827"/>
    <w:rsid w:val="006112C9"/>
    <w:rsid w:val="00611B35"/>
    <w:rsid w:val="0061339A"/>
    <w:rsid w:val="0061371F"/>
    <w:rsid w:val="006147AC"/>
    <w:rsid w:val="00615934"/>
    <w:rsid w:val="00616A5B"/>
    <w:rsid w:val="006171F1"/>
    <w:rsid w:val="0061756F"/>
    <w:rsid w:val="00617B40"/>
    <w:rsid w:val="00617E57"/>
    <w:rsid w:val="00620339"/>
    <w:rsid w:val="00620F29"/>
    <w:rsid w:val="006214CC"/>
    <w:rsid w:val="00621796"/>
    <w:rsid w:val="00622031"/>
    <w:rsid w:val="00622189"/>
    <w:rsid w:val="00622B57"/>
    <w:rsid w:val="00622BBD"/>
    <w:rsid w:val="00623890"/>
    <w:rsid w:val="00623CCB"/>
    <w:rsid w:val="00623F56"/>
    <w:rsid w:val="0062498D"/>
    <w:rsid w:val="00624BF6"/>
    <w:rsid w:val="0062598C"/>
    <w:rsid w:val="00625B0E"/>
    <w:rsid w:val="00625F44"/>
    <w:rsid w:val="00626CF7"/>
    <w:rsid w:val="00626E23"/>
    <w:rsid w:val="00627A17"/>
    <w:rsid w:val="00630403"/>
    <w:rsid w:val="00630871"/>
    <w:rsid w:val="00630B3F"/>
    <w:rsid w:val="00631647"/>
    <w:rsid w:val="006318D6"/>
    <w:rsid w:val="00631A30"/>
    <w:rsid w:val="00631CF0"/>
    <w:rsid w:val="00632CD2"/>
    <w:rsid w:val="006333D5"/>
    <w:rsid w:val="00633521"/>
    <w:rsid w:val="0063359F"/>
    <w:rsid w:val="006335D8"/>
    <w:rsid w:val="00633791"/>
    <w:rsid w:val="00633AD2"/>
    <w:rsid w:val="00634205"/>
    <w:rsid w:val="00634D07"/>
    <w:rsid w:val="00635550"/>
    <w:rsid w:val="006360E7"/>
    <w:rsid w:val="00636A57"/>
    <w:rsid w:val="00636BDE"/>
    <w:rsid w:val="00636E07"/>
    <w:rsid w:val="006374F0"/>
    <w:rsid w:val="00637695"/>
    <w:rsid w:val="00637CC4"/>
    <w:rsid w:val="006409D1"/>
    <w:rsid w:val="00640BC5"/>
    <w:rsid w:val="00642346"/>
    <w:rsid w:val="00642AEF"/>
    <w:rsid w:val="00643D47"/>
    <w:rsid w:val="00643EDB"/>
    <w:rsid w:val="00645140"/>
    <w:rsid w:val="006459D4"/>
    <w:rsid w:val="006459FB"/>
    <w:rsid w:val="00645A18"/>
    <w:rsid w:val="00646286"/>
    <w:rsid w:val="00646456"/>
    <w:rsid w:val="00646836"/>
    <w:rsid w:val="00646844"/>
    <w:rsid w:val="00646B11"/>
    <w:rsid w:val="0064731E"/>
    <w:rsid w:val="0064735C"/>
    <w:rsid w:val="00647943"/>
    <w:rsid w:val="00647B20"/>
    <w:rsid w:val="00647CB0"/>
    <w:rsid w:val="00651818"/>
    <w:rsid w:val="00653D63"/>
    <w:rsid w:val="0065418F"/>
    <w:rsid w:val="006545EB"/>
    <w:rsid w:val="00654C12"/>
    <w:rsid w:val="0065521F"/>
    <w:rsid w:val="006553D2"/>
    <w:rsid w:val="006554EF"/>
    <w:rsid w:val="006568BD"/>
    <w:rsid w:val="00656A3B"/>
    <w:rsid w:val="00657011"/>
    <w:rsid w:val="00657693"/>
    <w:rsid w:val="00657AA2"/>
    <w:rsid w:val="00657AA6"/>
    <w:rsid w:val="00660444"/>
    <w:rsid w:val="006607D9"/>
    <w:rsid w:val="006611AF"/>
    <w:rsid w:val="0066170B"/>
    <w:rsid w:val="00662397"/>
    <w:rsid w:val="006628AD"/>
    <w:rsid w:val="00663C68"/>
    <w:rsid w:val="00663ED7"/>
    <w:rsid w:val="00664122"/>
    <w:rsid w:val="0066412F"/>
    <w:rsid w:val="00664D22"/>
    <w:rsid w:val="00665766"/>
    <w:rsid w:val="00666A60"/>
    <w:rsid w:val="00666B5D"/>
    <w:rsid w:val="00666D74"/>
    <w:rsid w:val="0067114E"/>
    <w:rsid w:val="006717C9"/>
    <w:rsid w:val="006720BA"/>
    <w:rsid w:val="006721A4"/>
    <w:rsid w:val="00672396"/>
    <w:rsid w:val="00672A00"/>
    <w:rsid w:val="00672A75"/>
    <w:rsid w:val="00672F29"/>
    <w:rsid w:val="00674499"/>
    <w:rsid w:val="00675F74"/>
    <w:rsid w:val="00676B2F"/>
    <w:rsid w:val="00676F24"/>
    <w:rsid w:val="0067776C"/>
    <w:rsid w:val="0068035A"/>
    <w:rsid w:val="00680B4F"/>
    <w:rsid w:val="00680D46"/>
    <w:rsid w:val="0068124A"/>
    <w:rsid w:val="006814B4"/>
    <w:rsid w:val="00682AF4"/>
    <w:rsid w:val="0068300A"/>
    <w:rsid w:val="006832A4"/>
    <w:rsid w:val="00683EFB"/>
    <w:rsid w:val="00684360"/>
    <w:rsid w:val="00684644"/>
    <w:rsid w:val="006856CD"/>
    <w:rsid w:val="00685AFE"/>
    <w:rsid w:val="006860D0"/>
    <w:rsid w:val="00686490"/>
    <w:rsid w:val="006869FE"/>
    <w:rsid w:val="00686B07"/>
    <w:rsid w:val="00686B36"/>
    <w:rsid w:val="00686D57"/>
    <w:rsid w:val="006877C0"/>
    <w:rsid w:val="00687E92"/>
    <w:rsid w:val="00687FAC"/>
    <w:rsid w:val="006909CC"/>
    <w:rsid w:val="00691ABA"/>
    <w:rsid w:val="00691AFE"/>
    <w:rsid w:val="00691FFE"/>
    <w:rsid w:val="0069278B"/>
    <w:rsid w:val="00692A32"/>
    <w:rsid w:val="00692A84"/>
    <w:rsid w:val="00693307"/>
    <w:rsid w:val="00694B4F"/>
    <w:rsid w:val="00695657"/>
    <w:rsid w:val="0069582A"/>
    <w:rsid w:val="00696175"/>
    <w:rsid w:val="006969E0"/>
    <w:rsid w:val="00697B62"/>
    <w:rsid w:val="00697C81"/>
    <w:rsid w:val="006A0068"/>
    <w:rsid w:val="006A0242"/>
    <w:rsid w:val="006A0776"/>
    <w:rsid w:val="006A2007"/>
    <w:rsid w:val="006A20E1"/>
    <w:rsid w:val="006A20E2"/>
    <w:rsid w:val="006A2B02"/>
    <w:rsid w:val="006A34A5"/>
    <w:rsid w:val="006A4C84"/>
    <w:rsid w:val="006A5AE1"/>
    <w:rsid w:val="006A7145"/>
    <w:rsid w:val="006B044E"/>
    <w:rsid w:val="006B0951"/>
    <w:rsid w:val="006B11D4"/>
    <w:rsid w:val="006B1985"/>
    <w:rsid w:val="006B2003"/>
    <w:rsid w:val="006B2EF2"/>
    <w:rsid w:val="006B34B6"/>
    <w:rsid w:val="006B3C61"/>
    <w:rsid w:val="006B3FDB"/>
    <w:rsid w:val="006B42D0"/>
    <w:rsid w:val="006B439D"/>
    <w:rsid w:val="006B4832"/>
    <w:rsid w:val="006B59F5"/>
    <w:rsid w:val="006B5B70"/>
    <w:rsid w:val="006B5DD7"/>
    <w:rsid w:val="006B5EDE"/>
    <w:rsid w:val="006B65D8"/>
    <w:rsid w:val="006B6997"/>
    <w:rsid w:val="006B6B6E"/>
    <w:rsid w:val="006C103B"/>
    <w:rsid w:val="006C16E8"/>
    <w:rsid w:val="006C18EE"/>
    <w:rsid w:val="006C3F53"/>
    <w:rsid w:val="006C3F95"/>
    <w:rsid w:val="006C41A4"/>
    <w:rsid w:val="006C4826"/>
    <w:rsid w:val="006C586F"/>
    <w:rsid w:val="006C60A3"/>
    <w:rsid w:val="006C613C"/>
    <w:rsid w:val="006C67D5"/>
    <w:rsid w:val="006C6F79"/>
    <w:rsid w:val="006C70DC"/>
    <w:rsid w:val="006C7D9C"/>
    <w:rsid w:val="006D01DF"/>
    <w:rsid w:val="006D05AE"/>
    <w:rsid w:val="006D16C4"/>
    <w:rsid w:val="006D1BA2"/>
    <w:rsid w:val="006D1BDD"/>
    <w:rsid w:val="006D1D38"/>
    <w:rsid w:val="006D3127"/>
    <w:rsid w:val="006D36F1"/>
    <w:rsid w:val="006D3D08"/>
    <w:rsid w:val="006D4587"/>
    <w:rsid w:val="006D4B9F"/>
    <w:rsid w:val="006D51B7"/>
    <w:rsid w:val="006D560B"/>
    <w:rsid w:val="006D5DCF"/>
    <w:rsid w:val="006D6A2B"/>
    <w:rsid w:val="006D71D3"/>
    <w:rsid w:val="006E08C0"/>
    <w:rsid w:val="006E096E"/>
    <w:rsid w:val="006E0F38"/>
    <w:rsid w:val="006E0F83"/>
    <w:rsid w:val="006E1D94"/>
    <w:rsid w:val="006E1DB2"/>
    <w:rsid w:val="006E3059"/>
    <w:rsid w:val="006E33CE"/>
    <w:rsid w:val="006E3B37"/>
    <w:rsid w:val="006E431B"/>
    <w:rsid w:val="006E441A"/>
    <w:rsid w:val="006E55D6"/>
    <w:rsid w:val="006E5A80"/>
    <w:rsid w:val="006E5B62"/>
    <w:rsid w:val="006E5B93"/>
    <w:rsid w:val="006F0FD5"/>
    <w:rsid w:val="006F1626"/>
    <w:rsid w:val="006F16CC"/>
    <w:rsid w:val="006F1904"/>
    <w:rsid w:val="006F256A"/>
    <w:rsid w:val="006F276A"/>
    <w:rsid w:val="006F4BA9"/>
    <w:rsid w:val="006F60DB"/>
    <w:rsid w:val="006F627C"/>
    <w:rsid w:val="006F6920"/>
    <w:rsid w:val="006F6B4C"/>
    <w:rsid w:val="006F72AF"/>
    <w:rsid w:val="006F75E5"/>
    <w:rsid w:val="00700083"/>
    <w:rsid w:val="007004E1"/>
    <w:rsid w:val="00700B90"/>
    <w:rsid w:val="00701520"/>
    <w:rsid w:val="00701710"/>
    <w:rsid w:val="00701D4D"/>
    <w:rsid w:val="00701E99"/>
    <w:rsid w:val="00702034"/>
    <w:rsid w:val="0070225D"/>
    <w:rsid w:val="007023D0"/>
    <w:rsid w:val="007035DF"/>
    <w:rsid w:val="00703915"/>
    <w:rsid w:val="00704509"/>
    <w:rsid w:val="00704972"/>
    <w:rsid w:val="00704A37"/>
    <w:rsid w:val="00704BA7"/>
    <w:rsid w:val="00704E03"/>
    <w:rsid w:val="00705165"/>
    <w:rsid w:val="00705417"/>
    <w:rsid w:val="00705E9B"/>
    <w:rsid w:val="0070659D"/>
    <w:rsid w:val="00706FF0"/>
    <w:rsid w:val="0070768B"/>
    <w:rsid w:val="00710085"/>
    <w:rsid w:val="007105D4"/>
    <w:rsid w:val="00710E47"/>
    <w:rsid w:val="007112B4"/>
    <w:rsid w:val="0071137B"/>
    <w:rsid w:val="00711E1E"/>
    <w:rsid w:val="00711F18"/>
    <w:rsid w:val="007125E8"/>
    <w:rsid w:val="00712B82"/>
    <w:rsid w:val="00712C5D"/>
    <w:rsid w:val="0071368F"/>
    <w:rsid w:val="00713BA1"/>
    <w:rsid w:val="00713E1D"/>
    <w:rsid w:val="00714508"/>
    <w:rsid w:val="00714A10"/>
    <w:rsid w:val="0071683C"/>
    <w:rsid w:val="0071686B"/>
    <w:rsid w:val="00716898"/>
    <w:rsid w:val="007169C6"/>
    <w:rsid w:val="00716F83"/>
    <w:rsid w:val="00717514"/>
    <w:rsid w:val="00717F8D"/>
    <w:rsid w:val="00721503"/>
    <w:rsid w:val="00721966"/>
    <w:rsid w:val="00721A3D"/>
    <w:rsid w:val="007222BD"/>
    <w:rsid w:val="007225C5"/>
    <w:rsid w:val="00722F00"/>
    <w:rsid w:val="00723056"/>
    <w:rsid w:val="00723500"/>
    <w:rsid w:val="007236BB"/>
    <w:rsid w:val="00723E3F"/>
    <w:rsid w:val="007242D7"/>
    <w:rsid w:val="00724430"/>
    <w:rsid w:val="00724C69"/>
    <w:rsid w:val="00724CCF"/>
    <w:rsid w:val="00724CEB"/>
    <w:rsid w:val="00725C4C"/>
    <w:rsid w:val="0072729C"/>
    <w:rsid w:val="007274BA"/>
    <w:rsid w:val="00730416"/>
    <w:rsid w:val="00730E40"/>
    <w:rsid w:val="00731449"/>
    <w:rsid w:val="00731677"/>
    <w:rsid w:val="00732FE7"/>
    <w:rsid w:val="007331A7"/>
    <w:rsid w:val="007333A3"/>
    <w:rsid w:val="00733821"/>
    <w:rsid w:val="0073511B"/>
    <w:rsid w:val="00735A64"/>
    <w:rsid w:val="00736143"/>
    <w:rsid w:val="00737C26"/>
    <w:rsid w:val="00740060"/>
    <w:rsid w:val="00740806"/>
    <w:rsid w:val="0074108B"/>
    <w:rsid w:val="00741703"/>
    <w:rsid w:val="00742480"/>
    <w:rsid w:val="00742D49"/>
    <w:rsid w:val="00743FE7"/>
    <w:rsid w:val="00745551"/>
    <w:rsid w:val="00746343"/>
    <w:rsid w:val="00746856"/>
    <w:rsid w:val="00746B6C"/>
    <w:rsid w:val="00746E7D"/>
    <w:rsid w:val="0074731A"/>
    <w:rsid w:val="00747639"/>
    <w:rsid w:val="007477D9"/>
    <w:rsid w:val="00747CF0"/>
    <w:rsid w:val="00750140"/>
    <w:rsid w:val="00750833"/>
    <w:rsid w:val="007511A8"/>
    <w:rsid w:val="00751CB3"/>
    <w:rsid w:val="00751EE1"/>
    <w:rsid w:val="00751EF8"/>
    <w:rsid w:val="007523DB"/>
    <w:rsid w:val="00752751"/>
    <w:rsid w:val="007545AF"/>
    <w:rsid w:val="00755413"/>
    <w:rsid w:val="007554D4"/>
    <w:rsid w:val="007556E3"/>
    <w:rsid w:val="00755F8E"/>
    <w:rsid w:val="007560AC"/>
    <w:rsid w:val="00756138"/>
    <w:rsid w:val="00757009"/>
    <w:rsid w:val="0075782C"/>
    <w:rsid w:val="0076061A"/>
    <w:rsid w:val="00761021"/>
    <w:rsid w:val="00761DC1"/>
    <w:rsid w:val="00761F87"/>
    <w:rsid w:val="007624CC"/>
    <w:rsid w:val="0076275C"/>
    <w:rsid w:val="00763073"/>
    <w:rsid w:val="00763FB2"/>
    <w:rsid w:val="0076413F"/>
    <w:rsid w:val="007641CC"/>
    <w:rsid w:val="0076452A"/>
    <w:rsid w:val="00764A71"/>
    <w:rsid w:val="00764FEF"/>
    <w:rsid w:val="007657AA"/>
    <w:rsid w:val="00765A3C"/>
    <w:rsid w:val="00765A4D"/>
    <w:rsid w:val="00766574"/>
    <w:rsid w:val="0076711A"/>
    <w:rsid w:val="0076768D"/>
    <w:rsid w:val="00767953"/>
    <w:rsid w:val="00770005"/>
    <w:rsid w:val="00770A1C"/>
    <w:rsid w:val="00770DE7"/>
    <w:rsid w:val="00770E9E"/>
    <w:rsid w:val="00771343"/>
    <w:rsid w:val="0077176D"/>
    <w:rsid w:val="00771A88"/>
    <w:rsid w:val="007725EE"/>
    <w:rsid w:val="00772C7A"/>
    <w:rsid w:val="00772EA8"/>
    <w:rsid w:val="00773EB5"/>
    <w:rsid w:val="00773F79"/>
    <w:rsid w:val="0077430A"/>
    <w:rsid w:val="0077437C"/>
    <w:rsid w:val="00774A9A"/>
    <w:rsid w:val="00775EE2"/>
    <w:rsid w:val="00776D1A"/>
    <w:rsid w:val="007771F6"/>
    <w:rsid w:val="00777DFB"/>
    <w:rsid w:val="007809BE"/>
    <w:rsid w:val="00782C72"/>
    <w:rsid w:val="0078304E"/>
    <w:rsid w:val="00785B68"/>
    <w:rsid w:val="007864A0"/>
    <w:rsid w:val="007870F2"/>
    <w:rsid w:val="00787637"/>
    <w:rsid w:val="00787CE6"/>
    <w:rsid w:val="00790115"/>
    <w:rsid w:val="0079058A"/>
    <w:rsid w:val="0079113E"/>
    <w:rsid w:val="00791694"/>
    <w:rsid w:val="00791CCC"/>
    <w:rsid w:val="00792244"/>
    <w:rsid w:val="00792C93"/>
    <w:rsid w:val="00792CC3"/>
    <w:rsid w:val="007933E9"/>
    <w:rsid w:val="007936A8"/>
    <w:rsid w:val="00794AA6"/>
    <w:rsid w:val="00794D81"/>
    <w:rsid w:val="00795B7A"/>
    <w:rsid w:val="00795BBD"/>
    <w:rsid w:val="00796097"/>
    <w:rsid w:val="007965D7"/>
    <w:rsid w:val="00796732"/>
    <w:rsid w:val="00796B52"/>
    <w:rsid w:val="007971B7"/>
    <w:rsid w:val="007972BF"/>
    <w:rsid w:val="007978D2"/>
    <w:rsid w:val="007A01EB"/>
    <w:rsid w:val="007A07BD"/>
    <w:rsid w:val="007A0B47"/>
    <w:rsid w:val="007A1A03"/>
    <w:rsid w:val="007A1DC8"/>
    <w:rsid w:val="007A2AD4"/>
    <w:rsid w:val="007A2C62"/>
    <w:rsid w:val="007A3A79"/>
    <w:rsid w:val="007A40DB"/>
    <w:rsid w:val="007A4D74"/>
    <w:rsid w:val="007A4F77"/>
    <w:rsid w:val="007A54D0"/>
    <w:rsid w:val="007A5A60"/>
    <w:rsid w:val="007A6550"/>
    <w:rsid w:val="007A680D"/>
    <w:rsid w:val="007A6B4D"/>
    <w:rsid w:val="007A731B"/>
    <w:rsid w:val="007A7CAA"/>
    <w:rsid w:val="007B00C8"/>
    <w:rsid w:val="007B01CD"/>
    <w:rsid w:val="007B0ECB"/>
    <w:rsid w:val="007B1053"/>
    <w:rsid w:val="007B10C9"/>
    <w:rsid w:val="007B1A1B"/>
    <w:rsid w:val="007B22F4"/>
    <w:rsid w:val="007B2530"/>
    <w:rsid w:val="007B2646"/>
    <w:rsid w:val="007B2E0A"/>
    <w:rsid w:val="007B406E"/>
    <w:rsid w:val="007B5D09"/>
    <w:rsid w:val="007B61D6"/>
    <w:rsid w:val="007B6637"/>
    <w:rsid w:val="007B66B2"/>
    <w:rsid w:val="007B6803"/>
    <w:rsid w:val="007B7DC8"/>
    <w:rsid w:val="007C0063"/>
    <w:rsid w:val="007C1009"/>
    <w:rsid w:val="007C1DB2"/>
    <w:rsid w:val="007C1DCA"/>
    <w:rsid w:val="007C210B"/>
    <w:rsid w:val="007C238A"/>
    <w:rsid w:val="007C27FA"/>
    <w:rsid w:val="007C33E0"/>
    <w:rsid w:val="007C395D"/>
    <w:rsid w:val="007C4D6A"/>
    <w:rsid w:val="007C58C1"/>
    <w:rsid w:val="007C5BB7"/>
    <w:rsid w:val="007C66A3"/>
    <w:rsid w:val="007C6D4D"/>
    <w:rsid w:val="007D0570"/>
    <w:rsid w:val="007D0D65"/>
    <w:rsid w:val="007D0F5B"/>
    <w:rsid w:val="007D16B8"/>
    <w:rsid w:val="007D1BF8"/>
    <w:rsid w:val="007D2F79"/>
    <w:rsid w:val="007D4300"/>
    <w:rsid w:val="007D4D1D"/>
    <w:rsid w:val="007D5B03"/>
    <w:rsid w:val="007D62F3"/>
    <w:rsid w:val="007D6709"/>
    <w:rsid w:val="007D6857"/>
    <w:rsid w:val="007D69D0"/>
    <w:rsid w:val="007D6CB0"/>
    <w:rsid w:val="007D7FA8"/>
    <w:rsid w:val="007E06E4"/>
    <w:rsid w:val="007E15A3"/>
    <w:rsid w:val="007E1EAF"/>
    <w:rsid w:val="007E1EE9"/>
    <w:rsid w:val="007E21D3"/>
    <w:rsid w:val="007E2795"/>
    <w:rsid w:val="007E2DBF"/>
    <w:rsid w:val="007E2F3A"/>
    <w:rsid w:val="007E3448"/>
    <w:rsid w:val="007E36A7"/>
    <w:rsid w:val="007E431F"/>
    <w:rsid w:val="007E435E"/>
    <w:rsid w:val="007E61B5"/>
    <w:rsid w:val="007E6412"/>
    <w:rsid w:val="007E66C7"/>
    <w:rsid w:val="007E6FEE"/>
    <w:rsid w:val="007E70A7"/>
    <w:rsid w:val="007E7DA5"/>
    <w:rsid w:val="007F02C0"/>
    <w:rsid w:val="007F09BF"/>
    <w:rsid w:val="007F0AB8"/>
    <w:rsid w:val="007F0C1A"/>
    <w:rsid w:val="007F0CA3"/>
    <w:rsid w:val="007F33AA"/>
    <w:rsid w:val="007F3E46"/>
    <w:rsid w:val="007F3EF0"/>
    <w:rsid w:val="007F3F7B"/>
    <w:rsid w:val="007F423D"/>
    <w:rsid w:val="007F4546"/>
    <w:rsid w:val="007F48F0"/>
    <w:rsid w:val="007F5107"/>
    <w:rsid w:val="007F590F"/>
    <w:rsid w:val="007F5C9B"/>
    <w:rsid w:val="007F6676"/>
    <w:rsid w:val="007F689C"/>
    <w:rsid w:val="007F6981"/>
    <w:rsid w:val="007F69B8"/>
    <w:rsid w:val="00800624"/>
    <w:rsid w:val="00801A97"/>
    <w:rsid w:val="00802877"/>
    <w:rsid w:val="00802BBF"/>
    <w:rsid w:val="00804894"/>
    <w:rsid w:val="0080662E"/>
    <w:rsid w:val="00806D21"/>
    <w:rsid w:val="008076A6"/>
    <w:rsid w:val="008103B9"/>
    <w:rsid w:val="0081107E"/>
    <w:rsid w:val="0081147A"/>
    <w:rsid w:val="008115C4"/>
    <w:rsid w:val="00811BEE"/>
    <w:rsid w:val="008120B9"/>
    <w:rsid w:val="008127E5"/>
    <w:rsid w:val="008129B5"/>
    <w:rsid w:val="008129B9"/>
    <w:rsid w:val="008143EA"/>
    <w:rsid w:val="00814410"/>
    <w:rsid w:val="008147E8"/>
    <w:rsid w:val="00814CC7"/>
    <w:rsid w:val="00815185"/>
    <w:rsid w:val="00815AB7"/>
    <w:rsid w:val="00816292"/>
    <w:rsid w:val="00816FCD"/>
    <w:rsid w:val="00817119"/>
    <w:rsid w:val="008175BD"/>
    <w:rsid w:val="00817F03"/>
    <w:rsid w:val="00820A97"/>
    <w:rsid w:val="00820E6A"/>
    <w:rsid w:val="00820EC5"/>
    <w:rsid w:val="0082165A"/>
    <w:rsid w:val="0082230F"/>
    <w:rsid w:val="0082268A"/>
    <w:rsid w:val="0082268B"/>
    <w:rsid w:val="00822B7B"/>
    <w:rsid w:val="00822D03"/>
    <w:rsid w:val="00822E80"/>
    <w:rsid w:val="00822F9A"/>
    <w:rsid w:val="00824B0F"/>
    <w:rsid w:val="00824FDE"/>
    <w:rsid w:val="0082509B"/>
    <w:rsid w:val="00825FE4"/>
    <w:rsid w:val="008264D4"/>
    <w:rsid w:val="00826C84"/>
    <w:rsid w:val="008275E7"/>
    <w:rsid w:val="00830246"/>
    <w:rsid w:val="00831141"/>
    <w:rsid w:val="008325D6"/>
    <w:rsid w:val="00833615"/>
    <w:rsid w:val="00833A03"/>
    <w:rsid w:val="00833FE0"/>
    <w:rsid w:val="0083491E"/>
    <w:rsid w:val="00835399"/>
    <w:rsid w:val="00836E80"/>
    <w:rsid w:val="00836F50"/>
    <w:rsid w:val="00837BF2"/>
    <w:rsid w:val="00837C6E"/>
    <w:rsid w:val="008409B9"/>
    <w:rsid w:val="0084103C"/>
    <w:rsid w:val="008419DE"/>
    <w:rsid w:val="008429E5"/>
    <w:rsid w:val="00843136"/>
    <w:rsid w:val="008431FB"/>
    <w:rsid w:val="00843668"/>
    <w:rsid w:val="008441BF"/>
    <w:rsid w:val="00845A13"/>
    <w:rsid w:val="00845E20"/>
    <w:rsid w:val="008469A1"/>
    <w:rsid w:val="00850238"/>
    <w:rsid w:val="0085282D"/>
    <w:rsid w:val="00852B72"/>
    <w:rsid w:val="00853B09"/>
    <w:rsid w:val="00854E16"/>
    <w:rsid w:val="0085581A"/>
    <w:rsid w:val="00855C85"/>
    <w:rsid w:val="00856BB6"/>
    <w:rsid w:val="00856EF6"/>
    <w:rsid w:val="00857842"/>
    <w:rsid w:val="00860328"/>
    <w:rsid w:val="00860427"/>
    <w:rsid w:val="0086056B"/>
    <w:rsid w:val="00861084"/>
    <w:rsid w:val="00863065"/>
    <w:rsid w:val="00863CD6"/>
    <w:rsid w:val="00864605"/>
    <w:rsid w:val="00865201"/>
    <w:rsid w:val="008667C7"/>
    <w:rsid w:val="00866A72"/>
    <w:rsid w:val="008678D7"/>
    <w:rsid w:val="0086790E"/>
    <w:rsid w:val="00867C59"/>
    <w:rsid w:val="0087465B"/>
    <w:rsid w:val="00874E2A"/>
    <w:rsid w:val="008750E6"/>
    <w:rsid w:val="00875413"/>
    <w:rsid w:val="00875445"/>
    <w:rsid w:val="00875565"/>
    <w:rsid w:val="00875AF2"/>
    <w:rsid w:val="00875F98"/>
    <w:rsid w:val="008765EE"/>
    <w:rsid w:val="008765FA"/>
    <w:rsid w:val="008765FB"/>
    <w:rsid w:val="0087742B"/>
    <w:rsid w:val="00880922"/>
    <w:rsid w:val="00881987"/>
    <w:rsid w:val="008826D2"/>
    <w:rsid w:val="008830D6"/>
    <w:rsid w:val="00883F97"/>
    <w:rsid w:val="00884A59"/>
    <w:rsid w:val="00884B29"/>
    <w:rsid w:val="00885266"/>
    <w:rsid w:val="00885E63"/>
    <w:rsid w:val="00885F81"/>
    <w:rsid w:val="00886317"/>
    <w:rsid w:val="00886836"/>
    <w:rsid w:val="008875C4"/>
    <w:rsid w:val="0088769F"/>
    <w:rsid w:val="00887E15"/>
    <w:rsid w:val="008910CB"/>
    <w:rsid w:val="008910E5"/>
    <w:rsid w:val="008919C2"/>
    <w:rsid w:val="00891D43"/>
    <w:rsid w:val="00893893"/>
    <w:rsid w:val="008939CD"/>
    <w:rsid w:val="00893EB3"/>
    <w:rsid w:val="00894A02"/>
    <w:rsid w:val="00894E7F"/>
    <w:rsid w:val="0089543E"/>
    <w:rsid w:val="008A023D"/>
    <w:rsid w:val="008A0CE3"/>
    <w:rsid w:val="008A0DE6"/>
    <w:rsid w:val="008A1762"/>
    <w:rsid w:val="008A228D"/>
    <w:rsid w:val="008A2435"/>
    <w:rsid w:val="008A2ED2"/>
    <w:rsid w:val="008A3190"/>
    <w:rsid w:val="008A44A8"/>
    <w:rsid w:val="008A4E90"/>
    <w:rsid w:val="008A5522"/>
    <w:rsid w:val="008A6459"/>
    <w:rsid w:val="008A6649"/>
    <w:rsid w:val="008A671D"/>
    <w:rsid w:val="008A6CB9"/>
    <w:rsid w:val="008A6ECD"/>
    <w:rsid w:val="008B005B"/>
    <w:rsid w:val="008B0D9D"/>
    <w:rsid w:val="008B0E50"/>
    <w:rsid w:val="008B1AC1"/>
    <w:rsid w:val="008B1B79"/>
    <w:rsid w:val="008B23F8"/>
    <w:rsid w:val="008B27D0"/>
    <w:rsid w:val="008B30B7"/>
    <w:rsid w:val="008B4066"/>
    <w:rsid w:val="008B43F3"/>
    <w:rsid w:val="008B4746"/>
    <w:rsid w:val="008B490F"/>
    <w:rsid w:val="008B4E8A"/>
    <w:rsid w:val="008B59D4"/>
    <w:rsid w:val="008B5F34"/>
    <w:rsid w:val="008B6948"/>
    <w:rsid w:val="008B70EB"/>
    <w:rsid w:val="008B716D"/>
    <w:rsid w:val="008C10EF"/>
    <w:rsid w:val="008C1F71"/>
    <w:rsid w:val="008C246C"/>
    <w:rsid w:val="008C2E47"/>
    <w:rsid w:val="008C2FEE"/>
    <w:rsid w:val="008C308C"/>
    <w:rsid w:val="008C34FE"/>
    <w:rsid w:val="008C4043"/>
    <w:rsid w:val="008C4393"/>
    <w:rsid w:val="008C461B"/>
    <w:rsid w:val="008C4771"/>
    <w:rsid w:val="008C4F85"/>
    <w:rsid w:val="008C7416"/>
    <w:rsid w:val="008C7D8E"/>
    <w:rsid w:val="008D0454"/>
    <w:rsid w:val="008D0A42"/>
    <w:rsid w:val="008D0B06"/>
    <w:rsid w:val="008D149E"/>
    <w:rsid w:val="008D16B9"/>
    <w:rsid w:val="008D1D3E"/>
    <w:rsid w:val="008D2118"/>
    <w:rsid w:val="008D2234"/>
    <w:rsid w:val="008D2563"/>
    <w:rsid w:val="008D2A5F"/>
    <w:rsid w:val="008D2F1D"/>
    <w:rsid w:val="008D37DE"/>
    <w:rsid w:val="008D4E73"/>
    <w:rsid w:val="008D530C"/>
    <w:rsid w:val="008D55FB"/>
    <w:rsid w:val="008D5659"/>
    <w:rsid w:val="008D60E3"/>
    <w:rsid w:val="008D6F87"/>
    <w:rsid w:val="008D765F"/>
    <w:rsid w:val="008D7E3D"/>
    <w:rsid w:val="008E0381"/>
    <w:rsid w:val="008E0E80"/>
    <w:rsid w:val="008E0ECD"/>
    <w:rsid w:val="008E1234"/>
    <w:rsid w:val="008E1382"/>
    <w:rsid w:val="008E188D"/>
    <w:rsid w:val="008E198B"/>
    <w:rsid w:val="008E2887"/>
    <w:rsid w:val="008E2B40"/>
    <w:rsid w:val="008E2D2A"/>
    <w:rsid w:val="008E3385"/>
    <w:rsid w:val="008E37A9"/>
    <w:rsid w:val="008E54F1"/>
    <w:rsid w:val="008E59E6"/>
    <w:rsid w:val="008E6593"/>
    <w:rsid w:val="008E674E"/>
    <w:rsid w:val="008E7BBE"/>
    <w:rsid w:val="008F0880"/>
    <w:rsid w:val="008F1825"/>
    <w:rsid w:val="008F1F06"/>
    <w:rsid w:val="008F315F"/>
    <w:rsid w:val="008F349E"/>
    <w:rsid w:val="008F3FF2"/>
    <w:rsid w:val="008F40C9"/>
    <w:rsid w:val="008F4D42"/>
    <w:rsid w:val="008F5622"/>
    <w:rsid w:val="008F56E7"/>
    <w:rsid w:val="008F5E5B"/>
    <w:rsid w:val="008F6311"/>
    <w:rsid w:val="008F6968"/>
    <w:rsid w:val="008F700A"/>
    <w:rsid w:val="008F773B"/>
    <w:rsid w:val="008F7C50"/>
    <w:rsid w:val="00900A56"/>
    <w:rsid w:val="00900E16"/>
    <w:rsid w:val="00901208"/>
    <w:rsid w:val="0090172E"/>
    <w:rsid w:val="00902454"/>
    <w:rsid w:val="009036B4"/>
    <w:rsid w:val="00904231"/>
    <w:rsid w:val="009053F1"/>
    <w:rsid w:val="00905575"/>
    <w:rsid w:val="00907B9A"/>
    <w:rsid w:val="00910496"/>
    <w:rsid w:val="00910F6D"/>
    <w:rsid w:val="00911543"/>
    <w:rsid w:val="00912F7A"/>
    <w:rsid w:val="00913464"/>
    <w:rsid w:val="00914033"/>
    <w:rsid w:val="009148C3"/>
    <w:rsid w:val="00914AD7"/>
    <w:rsid w:val="00915793"/>
    <w:rsid w:val="009164DD"/>
    <w:rsid w:val="009164FC"/>
    <w:rsid w:val="00916641"/>
    <w:rsid w:val="00916ACC"/>
    <w:rsid w:val="00917C53"/>
    <w:rsid w:val="00917D0B"/>
    <w:rsid w:val="00917DBE"/>
    <w:rsid w:val="009218BF"/>
    <w:rsid w:val="00922253"/>
    <w:rsid w:val="00923410"/>
    <w:rsid w:val="0092422E"/>
    <w:rsid w:val="0092462C"/>
    <w:rsid w:val="0092492E"/>
    <w:rsid w:val="009249DC"/>
    <w:rsid w:val="00924BB4"/>
    <w:rsid w:val="009251EF"/>
    <w:rsid w:val="00925411"/>
    <w:rsid w:val="0092555D"/>
    <w:rsid w:val="009261DA"/>
    <w:rsid w:val="009264FD"/>
    <w:rsid w:val="00927EE1"/>
    <w:rsid w:val="00930398"/>
    <w:rsid w:val="00930419"/>
    <w:rsid w:val="009312E3"/>
    <w:rsid w:val="009326CA"/>
    <w:rsid w:val="00932BA5"/>
    <w:rsid w:val="00933682"/>
    <w:rsid w:val="00933C70"/>
    <w:rsid w:val="00933C8F"/>
    <w:rsid w:val="00933E10"/>
    <w:rsid w:val="00933F45"/>
    <w:rsid w:val="0093402C"/>
    <w:rsid w:val="00934785"/>
    <w:rsid w:val="009347D7"/>
    <w:rsid w:val="00935542"/>
    <w:rsid w:val="00935C9F"/>
    <w:rsid w:val="009365B7"/>
    <w:rsid w:val="009367DD"/>
    <w:rsid w:val="00937377"/>
    <w:rsid w:val="00937C3E"/>
    <w:rsid w:val="0094158C"/>
    <w:rsid w:val="00942461"/>
    <w:rsid w:val="00942875"/>
    <w:rsid w:val="009433CA"/>
    <w:rsid w:val="00944501"/>
    <w:rsid w:val="00944C35"/>
    <w:rsid w:val="009451AB"/>
    <w:rsid w:val="00945C1B"/>
    <w:rsid w:val="0094695A"/>
    <w:rsid w:val="00946D86"/>
    <w:rsid w:val="0094725C"/>
    <w:rsid w:val="00947483"/>
    <w:rsid w:val="00950985"/>
    <w:rsid w:val="00954A2A"/>
    <w:rsid w:val="00954F87"/>
    <w:rsid w:val="00954FA5"/>
    <w:rsid w:val="00955267"/>
    <w:rsid w:val="00955319"/>
    <w:rsid w:val="00956C63"/>
    <w:rsid w:val="00956FC9"/>
    <w:rsid w:val="00957DF4"/>
    <w:rsid w:val="0096009E"/>
    <w:rsid w:val="00960174"/>
    <w:rsid w:val="009601BA"/>
    <w:rsid w:val="00960836"/>
    <w:rsid w:val="00960863"/>
    <w:rsid w:val="00960DFE"/>
    <w:rsid w:val="00961433"/>
    <w:rsid w:val="00961B83"/>
    <w:rsid w:val="009623A9"/>
    <w:rsid w:val="00962AD9"/>
    <w:rsid w:val="00962E43"/>
    <w:rsid w:val="00962F37"/>
    <w:rsid w:val="00962FAF"/>
    <w:rsid w:val="009639B3"/>
    <w:rsid w:val="009641D8"/>
    <w:rsid w:val="00964897"/>
    <w:rsid w:val="00964F0D"/>
    <w:rsid w:val="00965741"/>
    <w:rsid w:val="00966655"/>
    <w:rsid w:val="0096674D"/>
    <w:rsid w:val="00967BE3"/>
    <w:rsid w:val="00967C4F"/>
    <w:rsid w:val="0097015F"/>
    <w:rsid w:val="00970206"/>
    <w:rsid w:val="009711E5"/>
    <w:rsid w:val="00971AAF"/>
    <w:rsid w:val="00972881"/>
    <w:rsid w:val="00972BCC"/>
    <w:rsid w:val="00972EA5"/>
    <w:rsid w:val="00973462"/>
    <w:rsid w:val="00973BFF"/>
    <w:rsid w:val="009748CE"/>
    <w:rsid w:val="009751A5"/>
    <w:rsid w:val="009755A7"/>
    <w:rsid w:val="009755C6"/>
    <w:rsid w:val="0097621C"/>
    <w:rsid w:val="009771B0"/>
    <w:rsid w:val="00977693"/>
    <w:rsid w:val="0098041A"/>
    <w:rsid w:val="009808E1"/>
    <w:rsid w:val="009809F2"/>
    <w:rsid w:val="00980AB2"/>
    <w:rsid w:val="009810D0"/>
    <w:rsid w:val="00981CC1"/>
    <w:rsid w:val="009823E2"/>
    <w:rsid w:val="0098257F"/>
    <w:rsid w:val="009827A0"/>
    <w:rsid w:val="0098347A"/>
    <w:rsid w:val="00983922"/>
    <w:rsid w:val="009839F1"/>
    <w:rsid w:val="00983EB9"/>
    <w:rsid w:val="009840FC"/>
    <w:rsid w:val="009847ED"/>
    <w:rsid w:val="009859C8"/>
    <w:rsid w:val="00985A0A"/>
    <w:rsid w:val="00985EFD"/>
    <w:rsid w:val="00986759"/>
    <w:rsid w:val="00987639"/>
    <w:rsid w:val="0099071F"/>
    <w:rsid w:val="00990734"/>
    <w:rsid w:val="0099148A"/>
    <w:rsid w:val="009919EE"/>
    <w:rsid w:val="009923C0"/>
    <w:rsid w:val="00992CC6"/>
    <w:rsid w:val="00994147"/>
    <w:rsid w:val="009942F9"/>
    <w:rsid w:val="00994C1A"/>
    <w:rsid w:val="009952FD"/>
    <w:rsid w:val="0099593B"/>
    <w:rsid w:val="00995980"/>
    <w:rsid w:val="00995D6D"/>
    <w:rsid w:val="009966F1"/>
    <w:rsid w:val="00996883"/>
    <w:rsid w:val="00996C05"/>
    <w:rsid w:val="00997AC2"/>
    <w:rsid w:val="009A025A"/>
    <w:rsid w:val="009A093E"/>
    <w:rsid w:val="009A09C1"/>
    <w:rsid w:val="009A20C2"/>
    <w:rsid w:val="009A2376"/>
    <w:rsid w:val="009A26CD"/>
    <w:rsid w:val="009A26DE"/>
    <w:rsid w:val="009A26F8"/>
    <w:rsid w:val="009A2B58"/>
    <w:rsid w:val="009A2B6C"/>
    <w:rsid w:val="009A3C60"/>
    <w:rsid w:val="009A498D"/>
    <w:rsid w:val="009A4FE4"/>
    <w:rsid w:val="009A5220"/>
    <w:rsid w:val="009A52D6"/>
    <w:rsid w:val="009A5728"/>
    <w:rsid w:val="009A5D79"/>
    <w:rsid w:val="009A614A"/>
    <w:rsid w:val="009A65F3"/>
    <w:rsid w:val="009A7310"/>
    <w:rsid w:val="009B011C"/>
    <w:rsid w:val="009B0191"/>
    <w:rsid w:val="009B095F"/>
    <w:rsid w:val="009B0C76"/>
    <w:rsid w:val="009B127F"/>
    <w:rsid w:val="009B1350"/>
    <w:rsid w:val="009B13C6"/>
    <w:rsid w:val="009B1BB7"/>
    <w:rsid w:val="009B1E00"/>
    <w:rsid w:val="009B2577"/>
    <w:rsid w:val="009B2A65"/>
    <w:rsid w:val="009B2BBC"/>
    <w:rsid w:val="009B2FCE"/>
    <w:rsid w:val="009B3464"/>
    <w:rsid w:val="009B3570"/>
    <w:rsid w:val="009B44C8"/>
    <w:rsid w:val="009B45AD"/>
    <w:rsid w:val="009B4697"/>
    <w:rsid w:val="009B4851"/>
    <w:rsid w:val="009B5A56"/>
    <w:rsid w:val="009B5B9E"/>
    <w:rsid w:val="009B5DAF"/>
    <w:rsid w:val="009B728C"/>
    <w:rsid w:val="009B76F6"/>
    <w:rsid w:val="009C1278"/>
    <w:rsid w:val="009C1BAE"/>
    <w:rsid w:val="009C1CF3"/>
    <w:rsid w:val="009C2619"/>
    <w:rsid w:val="009C277D"/>
    <w:rsid w:val="009C2846"/>
    <w:rsid w:val="009C34F1"/>
    <w:rsid w:val="009C3A4E"/>
    <w:rsid w:val="009C3B0A"/>
    <w:rsid w:val="009C458C"/>
    <w:rsid w:val="009C52D1"/>
    <w:rsid w:val="009C6054"/>
    <w:rsid w:val="009C623F"/>
    <w:rsid w:val="009C6F18"/>
    <w:rsid w:val="009D035E"/>
    <w:rsid w:val="009D043D"/>
    <w:rsid w:val="009D0738"/>
    <w:rsid w:val="009D0FA6"/>
    <w:rsid w:val="009D2B25"/>
    <w:rsid w:val="009D2E17"/>
    <w:rsid w:val="009D39C8"/>
    <w:rsid w:val="009D39D5"/>
    <w:rsid w:val="009D3A8D"/>
    <w:rsid w:val="009D3E0B"/>
    <w:rsid w:val="009D4D17"/>
    <w:rsid w:val="009D4F0C"/>
    <w:rsid w:val="009D5072"/>
    <w:rsid w:val="009D5765"/>
    <w:rsid w:val="009D593A"/>
    <w:rsid w:val="009D658E"/>
    <w:rsid w:val="009D7BD2"/>
    <w:rsid w:val="009E00CA"/>
    <w:rsid w:val="009E0199"/>
    <w:rsid w:val="009E2BFC"/>
    <w:rsid w:val="009E3BCF"/>
    <w:rsid w:val="009E402E"/>
    <w:rsid w:val="009E49D2"/>
    <w:rsid w:val="009E4B57"/>
    <w:rsid w:val="009E5085"/>
    <w:rsid w:val="009E6109"/>
    <w:rsid w:val="009E7C18"/>
    <w:rsid w:val="009F07ED"/>
    <w:rsid w:val="009F0998"/>
    <w:rsid w:val="009F0FEB"/>
    <w:rsid w:val="009F136D"/>
    <w:rsid w:val="009F3481"/>
    <w:rsid w:val="009F3CAE"/>
    <w:rsid w:val="009F4F2A"/>
    <w:rsid w:val="009F50CC"/>
    <w:rsid w:val="009F523A"/>
    <w:rsid w:val="009F5283"/>
    <w:rsid w:val="009F55BD"/>
    <w:rsid w:val="009F5A9A"/>
    <w:rsid w:val="009F674F"/>
    <w:rsid w:val="009F6789"/>
    <w:rsid w:val="009F7720"/>
    <w:rsid w:val="009F7B4E"/>
    <w:rsid w:val="009F7C21"/>
    <w:rsid w:val="00A00C37"/>
    <w:rsid w:val="00A01A32"/>
    <w:rsid w:val="00A0285D"/>
    <w:rsid w:val="00A035F2"/>
    <w:rsid w:val="00A04414"/>
    <w:rsid w:val="00A04F4E"/>
    <w:rsid w:val="00A05A4F"/>
    <w:rsid w:val="00A0614C"/>
    <w:rsid w:val="00A0614E"/>
    <w:rsid w:val="00A066A2"/>
    <w:rsid w:val="00A072BB"/>
    <w:rsid w:val="00A073F7"/>
    <w:rsid w:val="00A07AD0"/>
    <w:rsid w:val="00A114A4"/>
    <w:rsid w:val="00A119EE"/>
    <w:rsid w:val="00A13000"/>
    <w:rsid w:val="00A139FC"/>
    <w:rsid w:val="00A13A9D"/>
    <w:rsid w:val="00A13C3E"/>
    <w:rsid w:val="00A14EBE"/>
    <w:rsid w:val="00A163BD"/>
    <w:rsid w:val="00A167EE"/>
    <w:rsid w:val="00A17436"/>
    <w:rsid w:val="00A17A75"/>
    <w:rsid w:val="00A2088B"/>
    <w:rsid w:val="00A21F64"/>
    <w:rsid w:val="00A21F68"/>
    <w:rsid w:val="00A2227D"/>
    <w:rsid w:val="00A2268B"/>
    <w:rsid w:val="00A2553A"/>
    <w:rsid w:val="00A25F78"/>
    <w:rsid w:val="00A267F0"/>
    <w:rsid w:val="00A26FC4"/>
    <w:rsid w:val="00A271E3"/>
    <w:rsid w:val="00A27D58"/>
    <w:rsid w:val="00A27D5B"/>
    <w:rsid w:val="00A30768"/>
    <w:rsid w:val="00A30836"/>
    <w:rsid w:val="00A31055"/>
    <w:rsid w:val="00A318D6"/>
    <w:rsid w:val="00A3221F"/>
    <w:rsid w:val="00A32408"/>
    <w:rsid w:val="00A33D5A"/>
    <w:rsid w:val="00A341FC"/>
    <w:rsid w:val="00A3644B"/>
    <w:rsid w:val="00A36AFD"/>
    <w:rsid w:val="00A37847"/>
    <w:rsid w:val="00A379F3"/>
    <w:rsid w:val="00A40B1A"/>
    <w:rsid w:val="00A41436"/>
    <w:rsid w:val="00A421DD"/>
    <w:rsid w:val="00A4276F"/>
    <w:rsid w:val="00A43CE8"/>
    <w:rsid w:val="00A448C7"/>
    <w:rsid w:val="00A45257"/>
    <w:rsid w:val="00A462D7"/>
    <w:rsid w:val="00A463AC"/>
    <w:rsid w:val="00A46459"/>
    <w:rsid w:val="00A46A61"/>
    <w:rsid w:val="00A5071B"/>
    <w:rsid w:val="00A50C12"/>
    <w:rsid w:val="00A51819"/>
    <w:rsid w:val="00A51EBF"/>
    <w:rsid w:val="00A52B91"/>
    <w:rsid w:val="00A5319A"/>
    <w:rsid w:val="00A531B5"/>
    <w:rsid w:val="00A5338D"/>
    <w:rsid w:val="00A53983"/>
    <w:rsid w:val="00A542E3"/>
    <w:rsid w:val="00A54F40"/>
    <w:rsid w:val="00A565EA"/>
    <w:rsid w:val="00A573AF"/>
    <w:rsid w:val="00A57612"/>
    <w:rsid w:val="00A57A21"/>
    <w:rsid w:val="00A60656"/>
    <w:rsid w:val="00A60715"/>
    <w:rsid w:val="00A623F1"/>
    <w:rsid w:val="00A62671"/>
    <w:rsid w:val="00A6327B"/>
    <w:rsid w:val="00A6365A"/>
    <w:rsid w:val="00A6372D"/>
    <w:rsid w:val="00A64F35"/>
    <w:rsid w:val="00A678E8"/>
    <w:rsid w:val="00A70E72"/>
    <w:rsid w:val="00A71691"/>
    <w:rsid w:val="00A71F33"/>
    <w:rsid w:val="00A71F54"/>
    <w:rsid w:val="00A721DC"/>
    <w:rsid w:val="00A7284B"/>
    <w:rsid w:val="00A72885"/>
    <w:rsid w:val="00A7392C"/>
    <w:rsid w:val="00A740D6"/>
    <w:rsid w:val="00A74EBE"/>
    <w:rsid w:val="00A75213"/>
    <w:rsid w:val="00A75281"/>
    <w:rsid w:val="00A7529D"/>
    <w:rsid w:val="00A754CD"/>
    <w:rsid w:val="00A756D4"/>
    <w:rsid w:val="00A75D55"/>
    <w:rsid w:val="00A76359"/>
    <w:rsid w:val="00A7678E"/>
    <w:rsid w:val="00A77499"/>
    <w:rsid w:val="00A77657"/>
    <w:rsid w:val="00A7799C"/>
    <w:rsid w:val="00A77E8E"/>
    <w:rsid w:val="00A803DA"/>
    <w:rsid w:val="00A813C7"/>
    <w:rsid w:val="00A84899"/>
    <w:rsid w:val="00A85064"/>
    <w:rsid w:val="00A8570F"/>
    <w:rsid w:val="00A85C53"/>
    <w:rsid w:val="00A864C4"/>
    <w:rsid w:val="00A86828"/>
    <w:rsid w:val="00A8701A"/>
    <w:rsid w:val="00A876C4"/>
    <w:rsid w:val="00A87725"/>
    <w:rsid w:val="00A9002A"/>
    <w:rsid w:val="00A90598"/>
    <w:rsid w:val="00A90725"/>
    <w:rsid w:val="00A908C6"/>
    <w:rsid w:val="00A91605"/>
    <w:rsid w:val="00A9164B"/>
    <w:rsid w:val="00A92402"/>
    <w:rsid w:val="00A92D9F"/>
    <w:rsid w:val="00A93632"/>
    <w:rsid w:val="00A940C4"/>
    <w:rsid w:val="00A9576E"/>
    <w:rsid w:val="00A95831"/>
    <w:rsid w:val="00A97112"/>
    <w:rsid w:val="00A97408"/>
    <w:rsid w:val="00A9752F"/>
    <w:rsid w:val="00A97667"/>
    <w:rsid w:val="00A979A2"/>
    <w:rsid w:val="00A97B2C"/>
    <w:rsid w:val="00AA0141"/>
    <w:rsid w:val="00AA070E"/>
    <w:rsid w:val="00AA0B66"/>
    <w:rsid w:val="00AA125A"/>
    <w:rsid w:val="00AA1340"/>
    <w:rsid w:val="00AA195E"/>
    <w:rsid w:val="00AA1E70"/>
    <w:rsid w:val="00AA20AE"/>
    <w:rsid w:val="00AA2482"/>
    <w:rsid w:val="00AA278D"/>
    <w:rsid w:val="00AA3607"/>
    <w:rsid w:val="00AA535F"/>
    <w:rsid w:val="00AB0500"/>
    <w:rsid w:val="00AB05DA"/>
    <w:rsid w:val="00AB0868"/>
    <w:rsid w:val="00AB1166"/>
    <w:rsid w:val="00AB3691"/>
    <w:rsid w:val="00AB3728"/>
    <w:rsid w:val="00AB4126"/>
    <w:rsid w:val="00AB4F4F"/>
    <w:rsid w:val="00AB5768"/>
    <w:rsid w:val="00AB5DFB"/>
    <w:rsid w:val="00AB5F1C"/>
    <w:rsid w:val="00AB615F"/>
    <w:rsid w:val="00AB663E"/>
    <w:rsid w:val="00AB6FA8"/>
    <w:rsid w:val="00AB712D"/>
    <w:rsid w:val="00AB796B"/>
    <w:rsid w:val="00AB7CDF"/>
    <w:rsid w:val="00AC03AE"/>
    <w:rsid w:val="00AC0CB0"/>
    <w:rsid w:val="00AC0D58"/>
    <w:rsid w:val="00AC0F34"/>
    <w:rsid w:val="00AC214C"/>
    <w:rsid w:val="00AC2624"/>
    <w:rsid w:val="00AC29D4"/>
    <w:rsid w:val="00AC2DBD"/>
    <w:rsid w:val="00AC3121"/>
    <w:rsid w:val="00AC32BF"/>
    <w:rsid w:val="00AC3462"/>
    <w:rsid w:val="00AC3558"/>
    <w:rsid w:val="00AC52F4"/>
    <w:rsid w:val="00AC5733"/>
    <w:rsid w:val="00AC5C8A"/>
    <w:rsid w:val="00AC6B01"/>
    <w:rsid w:val="00AC7945"/>
    <w:rsid w:val="00AC79B6"/>
    <w:rsid w:val="00AC7C97"/>
    <w:rsid w:val="00AC7FBE"/>
    <w:rsid w:val="00AD0D40"/>
    <w:rsid w:val="00AD0DE8"/>
    <w:rsid w:val="00AD1693"/>
    <w:rsid w:val="00AD1EA5"/>
    <w:rsid w:val="00AD2014"/>
    <w:rsid w:val="00AD3CCB"/>
    <w:rsid w:val="00AD42F2"/>
    <w:rsid w:val="00AD4368"/>
    <w:rsid w:val="00AD4F3F"/>
    <w:rsid w:val="00AD56ED"/>
    <w:rsid w:val="00AD61E7"/>
    <w:rsid w:val="00AD6638"/>
    <w:rsid w:val="00AD7913"/>
    <w:rsid w:val="00AE0140"/>
    <w:rsid w:val="00AE078B"/>
    <w:rsid w:val="00AE081F"/>
    <w:rsid w:val="00AE0F0D"/>
    <w:rsid w:val="00AE1645"/>
    <w:rsid w:val="00AE1B79"/>
    <w:rsid w:val="00AE2125"/>
    <w:rsid w:val="00AE268E"/>
    <w:rsid w:val="00AE29C1"/>
    <w:rsid w:val="00AE2B2B"/>
    <w:rsid w:val="00AE3418"/>
    <w:rsid w:val="00AE37CD"/>
    <w:rsid w:val="00AE3F1A"/>
    <w:rsid w:val="00AE4283"/>
    <w:rsid w:val="00AE5143"/>
    <w:rsid w:val="00AE51F9"/>
    <w:rsid w:val="00AE541B"/>
    <w:rsid w:val="00AE558F"/>
    <w:rsid w:val="00AE79CC"/>
    <w:rsid w:val="00AF0316"/>
    <w:rsid w:val="00AF0EAD"/>
    <w:rsid w:val="00AF102A"/>
    <w:rsid w:val="00AF1057"/>
    <w:rsid w:val="00AF17EF"/>
    <w:rsid w:val="00AF24AD"/>
    <w:rsid w:val="00AF2751"/>
    <w:rsid w:val="00AF4C5D"/>
    <w:rsid w:val="00AF62B9"/>
    <w:rsid w:val="00AF65A9"/>
    <w:rsid w:val="00AF65F7"/>
    <w:rsid w:val="00AF6CD7"/>
    <w:rsid w:val="00AF6F34"/>
    <w:rsid w:val="00AF7F6A"/>
    <w:rsid w:val="00B0036D"/>
    <w:rsid w:val="00B03F37"/>
    <w:rsid w:val="00B0421E"/>
    <w:rsid w:val="00B04395"/>
    <w:rsid w:val="00B043D9"/>
    <w:rsid w:val="00B065A7"/>
    <w:rsid w:val="00B06CEB"/>
    <w:rsid w:val="00B06FF9"/>
    <w:rsid w:val="00B0749D"/>
    <w:rsid w:val="00B0758F"/>
    <w:rsid w:val="00B07D6B"/>
    <w:rsid w:val="00B112F8"/>
    <w:rsid w:val="00B122A0"/>
    <w:rsid w:val="00B122A6"/>
    <w:rsid w:val="00B12696"/>
    <w:rsid w:val="00B126DE"/>
    <w:rsid w:val="00B12843"/>
    <w:rsid w:val="00B1395D"/>
    <w:rsid w:val="00B13BD5"/>
    <w:rsid w:val="00B1403E"/>
    <w:rsid w:val="00B154E5"/>
    <w:rsid w:val="00B155DF"/>
    <w:rsid w:val="00B159AC"/>
    <w:rsid w:val="00B16298"/>
    <w:rsid w:val="00B16B2B"/>
    <w:rsid w:val="00B17005"/>
    <w:rsid w:val="00B2044F"/>
    <w:rsid w:val="00B20945"/>
    <w:rsid w:val="00B20E7D"/>
    <w:rsid w:val="00B211A5"/>
    <w:rsid w:val="00B21440"/>
    <w:rsid w:val="00B216DA"/>
    <w:rsid w:val="00B2359D"/>
    <w:rsid w:val="00B243B7"/>
    <w:rsid w:val="00B24FF9"/>
    <w:rsid w:val="00B250EA"/>
    <w:rsid w:val="00B25D4B"/>
    <w:rsid w:val="00B26973"/>
    <w:rsid w:val="00B278C2"/>
    <w:rsid w:val="00B31037"/>
    <w:rsid w:val="00B3179C"/>
    <w:rsid w:val="00B32811"/>
    <w:rsid w:val="00B328C2"/>
    <w:rsid w:val="00B32BF5"/>
    <w:rsid w:val="00B32FCA"/>
    <w:rsid w:val="00B32FFF"/>
    <w:rsid w:val="00B33BB9"/>
    <w:rsid w:val="00B347F9"/>
    <w:rsid w:val="00B35185"/>
    <w:rsid w:val="00B3526D"/>
    <w:rsid w:val="00B35C1D"/>
    <w:rsid w:val="00B36592"/>
    <w:rsid w:val="00B36C16"/>
    <w:rsid w:val="00B36CDF"/>
    <w:rsid w:val="00B37654"/>
    <w:rsid w:val="00B376E1"/>
    <w:rsid w:val="00B37DE2"/>
    <w:rsid w:val="00B424AB"/>
    <w:rsid w:val="00B42723"/>
    <w:rsid w:val="00B42A04"/>
    <w:rsid w:val="00B43637"/>
    <w:rsid w:val="00B436F5"/>
    <w:rsid w:val="00B45459"/>
    <w:rsid w:val="00B45CD6"/>
    <w:rsid w:val="00B45ED6"/>
    <w:rsid w:val="00B468C7"/>
    <w:rsid w:val="00B478E1"/>
    <w:rsid w:val="00B47C32"/>
    <w:rsid w:val="00B505D7"/>
    <w:rsid w:val="00B5080F"/>
    <w:rsid w:val="00B50DB4"/>
    <w:rsid w:val="00B50FD3"/>
    <w:rsid w:val="00B5106D"/>
    <w:rsid w:val="00B51BAA"/>
    <w:rsid w:val="00B51F46"/>
    <w:rsid w:val="00B5263E"/>
    <w:rsid w:val="00B52690"/>
    <w:rsid w:val="00B526AB"/>
    <w:rsid w:val="00B52E46"/>
    <w:rsid w:val="00B54322"/>
    <w:rsid w:val="00B54DD1"/>
    <w:rsid w:val="00B54FE6"/>
    <w:rsid w:val="00B553DC"/>
    <w:rsid w:val="00B55438"/>
    <w:rsid w:val="00B55ADA"/>
    <w:rsid w:val="00B56FE8"/>
    <w:rsid w:val="00B57E33"/>
    <w:rsid w:val="00B61922"/>
    <w:rsid w:val="00B6265B"/>
    <w:rsid w:val="00B6266F"/>
    <w:rsid w:val="00B6282A"/>
    <w:rsid w:val="00B62DEF"/>
    <w:rsid w:val="00B63223"/>
    <w:rsid w:val="00B63AB5"/>
    <w:rsid w:val="00B64380"/>
    <w:rsid w:val="00B644C7"/>
    <w:rsid w:val="00B64A78"/>
    <w:rsid w:val="00B64F49"/>
    <w:rsid w:val="00B665C6"/>
    <w:rsid w:val="00B66A63"/>
    <w:rsid w:val="00B67DD7"/>
    <w:rsid w:val="00B70AEA"/>
    <w:rsid w:val="00B70C0C"/>
    <w:rsid w:val="00B71593"/>
    <w:rsid w:val="00B723A3"/>
    <w:rsid w:val="00B72A1D"/>
    <w:rsid w:val="00B732FB"/>
    <w:rsid w:val="00B7333F"/>
    <w:rsid w:val="00B74343"/>
    <w:rsid w:val="00B74C78"/>
    <w:rsid w:val="00B7559D"/>
    <w:rsid w:val="00B7559E"/>
    <w:rsid w:val="00B75658"/>
    <w:rsid w:val="00B76919"/>
    <w:rsid w:val="00B773BE"/>
    <w:rsid w:val="00B776E9"/>
    <w:rsid w:val="00B802F9"/>
    <w:rsid w:val="00B819F5"/>
    <w:rsid w:val="00B81DB4"/>
    <w:rsid w:val="00B82292"/>
    <w:rsid w:val="00B8245C"/>
    <w:rsid w:val="00B83F8D"/>
    <w:rsid w:val="00B850DA"/>
    <w:rsid w:val="00B87409"/>
    <w:rsid w:val="00B87A60"/>
    <w:rsid w:val="00B87EF7"/>
    <w:rsid w:val="00B90B28"/>
    <w:rsid w:val="00B9111A"/>
    <w:rsid w:val="00B91DF1"/>
    <w:rsid w:val="00B91F17"/>
    <w:rsid w:val="00B9285A"/>
    <w:rsid w:val="00B92C6A"/>
    <w:rsid w:val="00B92CD7"/>
    <w:rsid w:val="00B9340E"/>
    <w:rsid w:val="00B9358D"/>
    <w:rsid w:val="00B93985"/>
    <w:rsid w:val="00B93C00"/>
    <w:rsid w:val="00B93C89"/>
    <w:rsid w:val="00B942AD"/>
    <w:rsid w:val="00B94CB9"/>
    <w:rsid w:val="00B961CC"/>
    <w:rsid w:val="00B969D9"/>
    <w:rsid w:val="00B96E0D"/>
    <w:rsid w:val="00B97773"/>
    <w:rsid w:val="00BA1834"/>
    <w:rsid w:val="00BA1ED4"/>
    <w:rsid w:val="00BA2B1F"/>
    <w:rsid w:val="00BA2EC3"/>
    <w:rsid w:val="00BA4816"/>
    <w:rsid w:val="00BA4C76"/>
    <w:rsid w:val="00BA4D43"/>
    <w:rsid w:val="00BA50CB"/>
    <w:rsid w:val="00BA60A1"/>
    <w:rsid w:val="00BA69BE"/>
    <w:rsid w:val="00BA6E41"/>
    <w:rsid w:val="00BA6EF5"/>
    <w:rsid w:val="00BA7878"/>
    <w:rsid w:val="00BA7A7D"/>
    <w:rsid w:val="00BA7B02"/>
    <w:rsid w:val="00BA7DB4"/>
    <w:rsid w:val="00BB076D"/>
    <w:rsid w:val="00BB0831"/>
    <w:rsid w:val="00BB11F6"/>
    <w:rsid w:val="00BB166E"/>
    <w:rsid w:val="00BB2652"/>
    <w:rsid w:val="00BB2787"/>
    <w:rsid w:val="00BB31B0"/>
    <w:rsid w:val="00BB4595"/>
    <w:rsid w:val="00BB5C6F"/>
    <w:rsid w:val="00BB636D"/>
    <w:rsid w:val="00BB63BA"/>
    <w:rsid w:val="00BC036B"/>
    <w:rsid w:val="00BC0445"/>
    <w:rsid w:val="00BC0DD6"/>
    <w:rsid w:val="00BC13C1"/>
    <w:rsid w:val="00BC144A"/>
    <w:rsid w:val="00BC2208"/>
    <w:rsid w:val="00BC3988"/>
    <w:rsid w:val="00BC3C7F"/>
    <w:rsid w:val="00BC3EFB"/>
    <w:rsid w:val="00BC401A"/>
    <w:rsid w:val="00BC4A9D"/>
    <w:rsid w:val="00BC5A53"/>
    <w:rsid w:val="00BC605E"/>
    <w:rsid w:val="00BC6A0A"/>
    <w:rsid w:val="00BC7028"/>
    <w:rsid w:val="00BC79EC"/>
    <w:rsid w:val="00BD01AA"/>
    <w:rsid w:val="00BD07AA"/>
    <w:rsid w:val="00BD1A9D"/>
    <w:rsid w:val="00BD27D1"/>
    <w:rsid w:val="00BD3D39"/>
    <w:rsid w:val="00BD4685"/>
    <w:rsid w:val="00BD4BE0"/>
    <w:rsid w:val="00BD54BE"/>
    <w:rsid w:val="00BD6AED"/>
    <w:rsid w:val="00BD6FEB"/>
    <w:rsid w:val="00BD7746"/>
    <w:rsid w:val="00BD7F9F"/>
    <w:rsid w:val="00BE0517"/>
    <w:rsid w:val="00BE0744"/>
    <w:rsid w:val="00BE116C"/>
    <w:rsid w:val="00BE175C"/>
    <w:rsid w:val="00BE1A41"/>
    <w:rsid w:val="00BE20AD"/>
    <w:rsid w:val="00BE2BD8"/>
    <w:rsid w:val="00BE367F"/>
    <w:rsid w:val="00BE378F"/>
    <w:rsid w:val="00BE3C89"/>
    <w:rsid w:val="00BE3D3F"/>
    <w:rsid w:val="00BE3E9F"/>
    <w:rsid w:val="00BE4D3F"/>
    <w:rsid w:val="00BE5D60"/>
    <w:rsid w:val="00BE5E88"/>
    <w:rsid w:val="00BE5F8F"/>
    <w:rsid w:val="00BE648B"/>
    <w:rsid w:val="00BE670D"/>
    <w:rsid w:val="00BE6AAF"/>
    <w:rsid w:val="00BE6F28"/>
    <w:rsid w:val="00BE71B4"/>
    <w:rsid w:val="00BE71B5"/>
    <w:rsid w:val="00BE7CA5"/>
    <w:rsid w:val="00BF04FF"/>
    <w:rsid w:val="00BF074E"/>
    <w:rsid w:val="00BF0AE1"/>
    <w:rsid w:val="00BF109B"/>
    <w:rsid w:val="00BF1969"/>
    <w:rsid w:val="00BF1B6D"/>
    <w:rsid w:val="00BF244C"/>
    <w:rsid w:val="00BF3352"/>
    <w:rsid w:val="00BF37BF"/>
    <w:rsid w:val="00BF414C"/>
    <w:rsid w:val="00BF4675"/>
    <w:rsid w:val="00BF4748"/>
    <w:rsid w:val="00BF4E9C"/>
    <w:rsid w:val="00BF6941"/>
    <w:rsid w:val="00BF70D3"/>
    <w:rsid w:val="00C01305"/>
    <w:rsid w:val="00C01DD1"/>
    <w:rsid w:val="00C02C40"/>
    <w:rsid w:val="00C02DC2"/>
    <w:rsid w:val="00C03C3F"/>
    <w:rsid w:val="00C03DC0"/>
    <w:rsid w:val="00C03F72"/>
    <w:rsid w:val="00C0490B"/>
    <w:rsid w:val="00C04EE8"/>
    <w:rsid w:val="00C05217"/>
    <w:rsid w:val="00C0579D"/>
    <w:rsid w:val="00C06021"/>
    <w:rsid w:val="00C067FE"/>
    <w:rsid w:val="00C06B06"/>
    <w:rsid w:val="00C072C0"/>
    <w:rsid w:val="00C075DA"/>
    <w:rsid w:val="00C07D39"/>
    <w:rsid w:val="00C07D54"/>
    <w:rsid w:val="00C11DCE"/>
    <w:rsid w:val="00C12540"/>
    <w:rsid w:val="00C1337C"/>
    <w:rsid w:val="00C13843"/>
    <w:rsid w:val="00C14EEE"/>
    <w:rsid w:val="00C14F64"/>
    <w:rsid w:val="00C16B47"/>
    <w:rsid w:val="00C16D47"/>
    <w:rsid w:val="00C17E81"/>
    <w:rsid w:val="00C2057B"/>
    <w:rsid w:val="00C2213B"/>
    <w:rsid w:val="00C22276"/>
    <w:rsid w:val="00C2227D"/>
    <w:rsid w:val="00C225E4"/>
    <w:rsid w:val="00C22C5B"/>
    <w:rsid w:val="00C23BE8"/>
    <w:rsid w:val="00C23E83"/>
    <w:rsid w:val="00C24148"/>
    <w:rsid w:val="00C24320"/>
    <w:rsid w:val="00C243C3"/>
    <w:rsid w:val="00C2470D"/>
    <w:rsid w:val="00C24DCD"/>
    <w:rsid w:val="00C252B9"/>
    <w:rsid w:val="00C266E5"/>
    <w:rsid w:val="00C26C38"/>
    <w:rsid w:val="00C26CF3"/>
    <w:rsid w:val="00C27787"/>
    <w:rsid w:val="00C307D2"/>
    <w:rsid w:val="00C309A5"/>
    <w:rsid w:val="00C313C2"/>
    <w:rsid w:val="00C31D8D"/>
    <w:rsid w:val="00C32A69"/>
    <w:rsid w:val="00C32E6A"/>
    <w:rsid w:val="00C32EDB"/>
    <w:rsid w:val="00C33CAC"/>
    <w:rsid w:val="00C33FCA"/>
    <w:rsid w:val="00C349D5"/>
    <w:rsid w:val="00C34A19"/>
    <w:rsid w:val="00C34F13"/>
    <w:rsid w:val="00C35169"/>
    <w:rsid w:val="00C3572E"/>
    <w:rsid w:val="00C3671B"/>
    <w:rsid w:val="00C371CC"/>
    <w:rsid w:val="00C372C7"/>
    <w:rsid w:val="00C408C6"/>
    <w:rsid w:val="00C420D8"/>
    <w:rsid w:val="00C42118"/>
    <w:rsid w:val="00C4242B"/>
    <w:rsid w:val="00C4268C"/>
    <w:rsid w:val="00C42AD3"/>
    <w:rsid w:val="00C43776"/>
    <w:rsid w:val="00C43AFC"/>
    <w:rsid w:val="00C44301"/>
    <w:rsid w:val="00C44BDD"/>
    <w:rsid w:val="00C45C63"/>
    <w:rsid w:val="00C47080"/>
    <w:rsid w:val="00C47270"/>
    <w:rsid w:val="00C473E3"/>
    <w:rsid w:val="00C477DF"/>
    <w:rsid w:val="00C479F0"/>
    <w:rsid w:val="00C5007D"/>
    <w:rsid w:val="00C502F8"/>
    <w:rsid w:val="00C51BB2"/>
    <w:rsid w:val="00C52661"/>
    <w:rsid w:val="00C528E0"/>
    <w:rsid w:val="00C54741"/>
    <w:rsid w:val="00C547AA"/>
    <w:rsid w:val="00C54AA3"/>
    <w:rsid w:val="00C54C53"/>
    <w:rsid w:val="00C5502D"/>
    <w:rsid w:val="00C550F8"/>
    <w:rsid w:val="00C55B54"/>
    <w:rsid w:val="00C56ED6"/>
    <w:rsid w:val="00C56F75"/>
    <w:rsid w:val="00C57E25"/>
    <w:rsid w:val="00C60638"/>
    <w:rsid w:val="00C61D05"/>
    <w:rsid w:val="00C62336"/>
    <w:rsid w:val="00C63096"/>
    <w:rsid w:val="00C6314E"/>
    <w:rsid w:val="00C63354"/>
    <w:rsid w:val="00C64970"/>
    <w:rsid w:val="00C649C8"/>
    <w:rsid w:val="00C64E57"/>
    <w:rsid w:val="00C652B0"/>
    <w:rsid w:val="00C66FC2"/>
    <w:rsid w:val="00C6752D"/>
    <w:rsid w:val="00C677F7"/>
    <w:rsid w:val="00C70F1E"/>
    <w:rsid w:val="00C710ED"/>
    <w:rsid w:val="00C718D7"/>
    <w:rsid w:val="00C72905"/>
    <w:rsid w:val="00C729EE"/>
    <w:rsid w:val="00C72E4A"/>
    <w:rsid w:val="00C73400"/>
    <w:rsid w:val="00C75E8D"/>
    <w:rsid w:val="00C76CA1"/>
    <w:rsid w:val="00C76FC3"/>
    <w:rsid w:val="00C77401"/>
    <w:rsid w:val="00C80160"/>
    <w:rsid w:val="00C81035"/>
    <w:rsid w:val="00C8183F"/>
    <w:rsid w:val="00C8218E"/>
    <w:rsid w:val="00C82812"/>
    <w:rsid w:val="00C834BE"/>
    <w:rsid w:val="00C83894"/>
    <w:rsid w:val="00C83A07"/>
    <w:rsid w:val="00C844AE"/>
    <w:rsid w:val="00C86A39"/>
    <w:rsid w:val="00C87584"/>
    <w:rsid w:val="00C87AB1"/>
    <w:rsid w:val="00C87D20"/>
    <w:rsid w:val="00C87EE9"/>
    <w:rsid w:val="00C913F7"/>
    <w:rsid w:val="00C916EA"/>
    <w:rsid w:val="00C91924"/>
    <w:rsid w:val="00C91AE4"/>
    <w:rsid w:val="00C921A8"/>
    <w:rsid w:val="00C928C8"/>
    <w:rsid w:val="00C93807"/>
    <w:rsid w:val="00C93D65"/>
    <w:rsid w:val="00C946D7"/>
    <w:rsid w:val="00C94F48"/>
    <w:rsid w:val="00C9598D"/>
    <w:rsid w:val="00C96FC5"/>
    <w:rsid w:val="00C97F4C"/>
    <w:rsid w:val="00CA11C0"/>
    <w:rsid w:val="00CA1CC0"/>
    <w:rsid w:val="00CA1CE6"/>
    <w:rsid w:val="00CA245B"/>
    <w:rsid w:val="00CA3BBD"/>
    <w:rsid w:val="00CA3D26"/>
    <w:rsid w:val="00CA42A1"/>
    <w:rsid w:val="00CA4344"/>
    <w:rsid w:val="00CA4D21"/>
    <w:rsid w:val="00CA5213"/>
    <w:rsid w:val="00CA57B2"/>
    <w:rsid w:val="00CA5C53"/>
    <w:rsid w:val="00CA7FB5"/>
    <w:rsid w:val="00CB1677"/>
    <w:rsid w:val="00CB1CE1"/>
    <w:rsid w:val="00CB2114"/>
    <w:rsid w:val="00CB2B12"/>
    <w:rsid w:val="00CB2F4C"/>
    <w:rsid w:val="00CB337B"/>
    <w:rsid w:val="00CB3613"/>
    <w:rsid w:val="00CB3CEC"/>
    <w:rsid w:val="00CB3E98"/>
    <w:rsid w:val="00CB3EDE"/>
    <w:rsid w:val="00CB4E17"/>
    <w:rsid w:val="00CB5371"/>
    <w:rsid w:val="00CB54B3"/>
    <w:rsid w:val="00CB6909"/>
    <w:rsid w:val="00CB6D35"/>
    <w:rsid w:val="00CB7CDA"/>
    <w:rsid w:val="00CC06F9"/>
    <w:rsid w:val="00CC0A2C"/>
    <w:rsid w:val="00CC12C0"/>
    <w:rsid w:val="00CC1393"/>
    <w:rsid w:val="00CC1ED9"/>
    <w:rsid w:val="00CC2848"/>
    <w:rsid w:val="00CC2906"/>
    <w:rsid w:val="00CC2E86"/>
    <w:rsid w:val="00CC34AA"/>
    <w:rsid w:val="00CC38BE"/>
    <w:rsid w:val="00CC458F"/>
    <w:rsid w:val="00CC4E62"/>
    <w:rsid w:val="00CC7B69"/>
    <w:rsid w:val="00CD013C"/>
    <w:rsid w:val="00CD1EE3"/>
    <w:rsid w:val="00CD22A2"/>
    <w:rsid w:val="00CD2C25"/>
    <w:rsid w:val="00CD335B"/>
    <w:rsid w:val="00CD48FF"/>
    <w:rsid w:val="00CD4FED"/>
    <w:rsid w:val="00CD54E2"/>
    <w:rsid w:val="00CD5A7E"/>
    <w:rsid w:val="00CD678E"/>
    <w:rsid w:val="00CD690C"/>
    <w:rsid w:val="00CD6913"/>
    <w:rsid w:val="00CD7035"/>
    <w:rsid w:val="00CD79F0"/>
    <w:rsid w:val="00CD7E2B"/>
    <w:rsid w:val="00CE03B8"/>
    <w:rsid w:val="00CE0639"/>
    <w:rsid w:val="00CE0AE9"/>
    <w:rsid w:val="00CE0F2A"/>
    <w:rsid w:val="00CE159C"/>
    <w:rsid w:val="00CE1638"/>
    <w:rsid w:val="00CE2075"/>
    <w:rsid w:val="00CE3087"/>
    <w:rsid w:val="00CE43C7"/>
    <w:rsid w:val="00CE4541"/>
    <w:rsid w:val="00CE4948"/>
    <w:rsid w:val="00CE4B46"/>
    <w:rsid w:val="00CE5EF6"/>
    <w:rsid w:val="00CE60B0"/>
    <w:rsid w:val="00CE6652"/>
    <w:rsid w:val="00CE67BF"/>
    <w:rsid w:val="00CE7564"/>
    <w:rsid w:val="00CF0525"/>
    <w:rsid w:val="00CF18F0"/>
    <w:rsid w:val="00CF27F4"/>
    <w:rsid w:val="00CF29B8"/>
    <w:rsid w:val="00CF370F"/>
    <w:rsid w:val="00CF41FB"/>
    <w:rsid w:val="00CF47A2"/>
    <w:rsid w:val="00CF4E4D"/>
    <w:rsid w:val="00CF53A5"/>
    <w:rsid w:val="00CF6949"/>
    <w:rsid w:val="00CF6A25"/>
    <w:rsid w:val="00CF6C06"/>
    <w:rsid w:val="00CF6E66"/>
    <w:rsid w:val="00CF739D"/>
    <w:rsid w:val="00D0088C"/>
    <w:rsid w:val="00D00C92"/>
    <w:rsid w:val="00D01555"/>
    <w:rsid w:val="00D0170F"/>
    <w:rsid w:val="00D01740"/>
    <w:rsid w:val="00D01CA2"/>
    <w:rsid w:val="00D01DDF"/>
    <w:rsid w:val="00D02297"/>
    <w:rsid w:val="00D035A6"/>
    <w:rsid w:val="00D03E34"/>
    <w:rsid w:val="00D0737A"/>
    <w:rsid w:val="00D07CC6"/>
    <w:rsid w:val="00D10E44"/>
    <w:rsid w:val="00D11ABB"/>
    <w:rsid w:val="00D1251E"/>
    <w:rsid w:val="00D1337A"/>
    <w:rsid w:val="00D1382C"/>
    <w:rsid w:val="00D14424"/>
    <w:rsid w:val="00D158B3"/>
    <w:rsid w:val="00D16447"/>
    <w:rsid w:val="00D17877"/>
    <w:rsid w:val="00D20BC1"/>
    <w:rsid w:val="00D20BDD"/>
    <w:rsid w:val="00D2183B"/>
    <w:rsid w:val="00D21FC0"/>
    <w:rsid w:val="00D22DA6"/>
    <w:rsid w:val="00D22E68"/>
    <w:rsid w:val="00D23055"/>
    <w:rsid w:val="00D2326C"/>
    <w:rsid w:val="00D242BE"/>
    <w:rsid w:val="00D245E7"/>
    <w:rsid w:val="00D24D88"/>
    <w:rsid w:val="00D24F63"/>
    <w:rsid w:val="00D26ACE"/>
    <w:rsid w:val="00D27090"/>
    <w:rsid w:val="00D30B02"/>
    <w:rsid w:val="00D30DB2"/>
    <w:rsid w:val="00D315E4"/>
    <w:rsid w:val="00D3177D"/>
    <w:rsid w:val="00D31963"/>
    <w:rsid w:val="00D31C0E"/>
    <w:rsid w:val="00D31D91"/>
    <w:rsid w:val="00D31FB7"/>
    <w:rsid w:val="00D32122"/>
    <w:rsid w:val="00D3292F"/>
    <w:rsid w:val="00D33ED2"/>
    <w:rsid w:val="00D34157"/>
    <w:rsid w:val="00D34FE9"/>
    <w:rsid w:val="00D36472"/>
    <w:rsid w:val="00D36822"/>
    <w:rsid w:val="00D36E7B"/>
    <w:rsid w:val="00D401BB"/>
    <w:rsid w:val="00D424BA"/>
    <w:rsid w:val="00D42916"/>
    <w:rsid w:val="00D43176"/>
    <w:rsid w:val="00D4391D"/>
    <w:rsid w:val="00D44215"/>
    <w:rsid w:val="00D458F3"/>
    <w:rsid w:val="00D45C79"/>
    <w:rsid w:val="00D45F57"/>
    <w:rsid w:val="00D461E8"/>
    <w:rsid w:val="00D473C3"/>
    <w:rsid w:val="00D47643"/>
    <w:rsid w:val="00D47ADA"/>
    <w:rsid w:val="00D47B1E"/>
    <w:rsid w:val="00D47F47"/>
    <w:rsid w:val="00D5028A"/>
    <w:rsid w:val="00D504AC"/>
    <w:rsid w:val="00D50BFA"/>
    <w:rsid w:val="00D52157"/>
    <w:rsid w:val="00D52F37"/>
    <w:rsid w:val="00D52F99"/>
    <w:rsid w:val="00D535F8"/>
    <w:rsid w:val="00D53A99"/>
    <w:rsid w:val="00D54440"/>
    <w:rsid w:val="00D54B1D"/>
    <w:rsid w:val="00D5509E"/>
    <w:rsid w:val="00D55544"/>
    <w:rsid w:val="00D55D06"/>
    <w:rsid w:val="00D56350"/>
    <w:rsid w:val="00D56903"/>
    <w:rsid w:val="00D56FEB"/>
    <w:rsid w:val="00D57532"/>
    <w:rsid w:val="00D57BD3"/>
    <w:rsid w:val="00D57C9A"/>
    <w:rsid w:val="00D60EC8"/>
    <w:rsid w:val="00D60FF8"/>
    <w:rsid w:val="00D61982"/>
    <w:rsid w:val="00D61C43"/>
    <w:rsid w:val="00D627A2"/>
    <w:rsid w:val="00D63B5D"/>
    <w:rsid w:val="00D64167"/>
    <w:rsid w:val="00D64295"/>
    <w:rsid w:val="00D64828"/>
    <w:rsid w:val="00D6489A"/>
    <w:rsid w:val="00D64D3F"/>
    <w:rsid w:val="00D65F22"/>
    <w:rsid w:val="00D66785"/>
    <w:rsid w:val="00D67CD3"/>
    <w:rsid w:val="00D67E40"/>
    <w:rsid w:val="00D67EB3"/>
    <w:rsid w:val="00D70BE4"/>
    <w:rsid w:val="00D715D3"/>
    <w:rsid w:val="00D71B9C"/>
    <w:rsid w:val="00D72AB5"/>
    <w:rsid w:val="00D73565"/>
    <w:rsid w:val="00D73A99"/>
    <w:rsid w:val="00D73E73"/>
    <w:rsid w:val="00D73ED5"/>
    <w:rsid w:val="00D7499D"/>
    <w:rsid w:val="00D74F4C"/>
    <w:rsid w:val="00D75DCD"/>
    <w:rsid w:val="00D76ED7"/>
    <w:rsid w:val="00D7784B"/>
    <w:rsid w:val="00D804C8"/>
    <w:rsid w:val="00D808D8"/>
    <w:rsid w:val="00D8119B"/>
    <w:rsid w:val="00D81543"/>
    <w:rsid w:val="00D817FE"/>
    <w:rsid w:val="00D83FB1"/>
    <w:rsid w:val="00D84757"/>
    <w:rsid w:val="00D84919"/>
    <w:rsid w:val="00D857F1"/>
    <w:rsid w:val="00D85BD7"/>
    <w:rsid w:val="00D86DD4"/>
    <w:rsid w:val="00D8760C"/>
    <w:rsid w:val="00D91A3F"/>
    <w:rsid w:val="00D91B97"/>
    <w:rsid w:val="00D91DFD"/>
    <w:rsid w:val="00D92E02"/>
    <w:rsid w:val="00D92EFE"/>
    <w:rsid w:val="00D93589"/>
    <w:rsid w:val="00D938AB"/>
    <w:rsid w:val="00D94E1B"/>
    <w:rsid w:val="00D950E9"/>
    <w:rsid w:val="00D95B66"/>
    <w:rsid w:val="00D96069"/>
    <w:rsid w:val="00D96361"/>
    <w:rsid w:val="00D964AE"/>
    <w:rsid w:val="00D96C74"/>
    <w:rsid w:val="00DA00B9"/>
    <w:rsid w:val="00DA131B"/>
    <w:rsid w:val="00DA1E8E"/>
    <w:rsid w:val="00DA24F3"/>
    <w:rsid w:val="00DA34E0"/>
    <w:rsid w:val="00DA36BC"/>
    <w:rsid w:val="00DA3A04"/>
    <w:rsid w:val="00DA40A3"/>
    <w:rsid w:val="00DA5032"/>
    <w:rsid w:val="00DA519D"/>
    <w:rsid w:val="00DA5464"/>
    <w:rsid w:val="00DA59DF"/>
    <w:rsid w:val="00DA5BAE"/>
    <w:rsid w:val="00DA68B8"/>
    <w:rsid w:val="00DA6F3A"/>
    <w:rsid w:val="00DA7217"/>
    <w:rsid w:val="00DA7292"/>
    <w:rsid w:val="00DB015C"/>
    <w:rsid w:val="00DB07AB"/>
    <w:rsid w:val="00DB0CA8"/>
    <w:rsid w:val="00DB1226"/>
    <w:rsid w:val="00DB2048"/>
    <w:rsid w:val="00DB222A"/>
    <w:rsid w:val="00DB4F0A"/>
    <w:rsid w:val="00DB5460"/>
    <w:rsid w:val="00DB6133"/>
    <w:rsid w:val="00DB6E85"/>
    <w:rsid w:val="00DB7687"/>
    <w:rsid w:val="00DC04A8"/>
    <w:rsid w:val="00DC1972"/>
    <w:rsid w:val="00DC2049"/>
    <w:rsid w:val="00DC2739"/>
    <w:rsid w:val="00DC3BBC"/>
    <w:rsid w:val="00DC40D2"/>
    <w:rsid w:val="00DC43B3"/>
    <w:rsid w:val="00DC461F"/>
    <w:rsid w:val="00DC5D99"/>
    <w:rsid w:val="00DC5E3A"/>
    <w:rsid w:val="00DC74FC"/>
    <w:rsid w:val="00DD07C7"/>
    <w:rsid w:val="00DD2465"/>
    <w:rsid w:val="00DD3551"/>
    <w:rsid w:val="00DD3704"/>
    <w:rsid w:val="00DD3DA6"/>
    <w:rsid w:val="00DD4232"/>
    <w:rsid w:val="00DD454F"/>
    <w:rsid w:val="00DD46DF"/>
    <w:rsid w:val="00DD4BE6"/>
    <w:rsid w:val="00DD51CC"/>
    <w:rsid w:val="00DD53DF"/>
    <w:rsid w:val="00DD5523"/>
    <w:rsid w:val="00DD59E4"/>
    <w:rsid w:val="00DD606A"/>
    <w:rsid w:val="00DD60D0"/>
    <w:rsid w:val="00DD696A"/>
    <w:rsid w:val="00DD6CAE"/>
    <w:rsid w:val="00DD7AA8"/>
    <w:rsid w:val="00DD7AEA"/>
    <w:rsid w:val="00DD7B75"/>
    <w:rsid w:val="00DE02E9"/>
    <w:rsid w:val="00DE0843"/>
    <w:rsid w:val="00DE093F"/>
    <w:rsid w:val="00DE0B41"/>
    <w:rsid w:val="00DE0EC5"/>
    <w:rsid w:val="00DE153D"/>
    <w:rsid w:val="00DE1B52"/>
    <w:rsid w:val="00DE21A9"/>
    <w:rsid w:val="00DE25FE"/>
    <w:rsid w:val="00DE2775"/>
    <w:rsid w:val="00DE294B"/>
    <w:rsid w:val="00DE2C4E"/>
    <w:rsid w:val="00DE337D"/>
    <w:rsid w:val="00DE389B"/>
    <w:rsid w:val="00DE3BFF"/>
    <w:rsid w:val="00DE426E"/>
    <w:rsid w:val="00DE5322"/>
    <w:rsid w:val="00DE60DF"/>
    <w:rsid w:val="00DE6719"/>
    <w:rsid w:val="00DE6902"/>
    <w:rsid w:val="00DE710B"/>
    <w:rsid w:val="00DE742E"/>
    <w:rsid w:val="00DF011F"/>
    <w:rsid w:val="00DF0C3C"/>
    <w:rsid w:val="00DF17D1"/>
    <w:rsid w:val="00DF19F7"/>
    <w:rsid w:val="00DF20AD"/>
    <w:rsid w:val="00DF2897"/>
    <w:rsid w:val="00DF2A18"/>
    <w:rsid w:val="00DF2D51"/>
    <w:rsid w:val="00DF3364"/>
    <w:rsid w:val="00DF387A"/>
    <w:rsid w:val="00DF4665"/>
    <w:rsid w:val="00DF5865"/>
    <w:rsid w:val="00E00169"/>
    <w:rsid w:val="00E010D5"/>
    <w:rsid w:val="00E016ED"/>
    <w:rsid w:val="00E01E64"/>
    <w:rsid w:val="00E01F08"/>
    <w:rsid w:val="00E01FFD"/>
    <w:rsid w:val="00E02A0A"/>
    <w:rsid w:val="00E02D63"/>
    <w:rsid w:val="00E02EA0"/>
    <w:rsid w:val="00E03D33"/>
    <w:rsid w:val="00E03EEE"/>
    <w:rsid w:val="00E04992"/>
    <w:rsid w:val="00E05DEB"/>
    <w:rsid w:val="00E07C66"/>
    <w:rsid w:val="00E07D18"/>
    <w:rsid w:val="00E07DEB"/>
    <w:rsid w:val="00E102D2"/>
    <w:rsid w:val="00E11598"/>
    <w:rsid w:val="00E13243"/>
    <w:rsid w:val="00E13828"/>
    <w:rsid w:val="00E146B8"/>
    <w:rsid w:val="00E14E93"/>
    <w:rsid w:val="00E154A6"/>
    <w:rsid w:val="00E1569E"/>
    <w:rsid w:val="00E1586D"/>
    <w:rsid w:val="00E15B15"/>
    <w:rsid w:val="00E161B8"/>
    <w:rsid w:val="00E164AF"/>
    <w:rsid w:val="00E17C20"/>
    <w:rsid w:val="00E17F6C"/>
    <w:rsid w:val="00E20249"/>
    <w:rsid w:val="00E2036B"/>
    <w:rsid w:val="00E2179E"/>
    <w:rsid w:val="00E21B64"/>
    <w:rsid w:val="00E22E3D"/>
    <w:rsid w:val="00E23949"/>
    <w:rsid w:val="00E2396C"/>
    <w:rsid w:val="00E24DC8"/>
    <w:rsid w:val="00E2535F"/>
    <w:rsid w:val="00E253BE"/>
    <w:rsid w:val="00E25B5E"/>
    <w:rsid w:val="00E25B92"/>
    <w:rsid w:val="00E27CCB"/>
    <w:rsid w:val="00E27DCE"/>
    <w:rsid w:val="00E3234F"/>
    <w:rsid w:val="00E3308B"/>
    <w:rsid w:val="00E33108"/>
    <w:rsid w:val="00E33584"/>
    <w:rsid w:val="00E33C1F"/>
    <w:rsid w:val="00E34723"/>
    <w:rsid w:val="00E34748"/>
    <w:rsid w:val="00E34944"/>
    <w:rsid w:val="00E35717"/>
    <w:rsid w:val="00E359F4"/>
    <w:rsid w:val="00E35A56"/>
    <w:rsid w:val="00E36099"/>
    <w:rsid w:val="00E365EA"/>
    <w:rsid w:val="00E36637"/>
    <w:rsid w:val="00E36697"/>
    <w:rsid w:val="00E36FDD"/>
    <w:rsid w:val="00E3742F"/>
    <w:rsid w:val="00E413EF"/>
    <w:rsid w:val="00E41DBC"/>
    <w:rsid w:val="00E4273C"/>
    <w:rsid w:val="00E42983"/>
    <w:rsid w:val="00E42D5E"/>
    <w:rsid w:val="00E44065"/>
    <w:rsid w:val="00E44C51"/>
    <w:rsid w:val="00E45472"/>
    <w:rsid w:val="00E45624"/>
    <w:rsid w:val="00E45BB2"/>
    <w:rsid w:val="00E45F34"/>
    <w:rsid w:val="00E4775F"/>
    <w:rsid w:val="00E500AE"/>
    <w:rsid w:val="00E50640"/>
    <w:rsid w:val="00E50D2D"/>
    <w:rsid w:val="00E50E1E"/>
    <w:rsid w:val="00E51689"/>
    <w:rsid w:val="00E52222"/>
    <w:rsid w:val="00E53ABF"/>
    <w:rsid w:val="00E5414A"/>
    <w:rsid w:val="00E55BE9"/>
    <w:rsid w:val="00E56368"/>
    <w:rsid w:val="00E56454"/>
    <w:rsid w:val="00E56D29"/>
    <w:rsid w:val="00E56D76"/>
    <w:rsid w:val="00E57569"/>
    <w:rsid w:val="00E578D9"/>
    <w:rsid w:val="00E60434"/>
    <w:rsid w:val="00E60862"/>
    <w:rsid w:val="00E6094C"/>
    <w:rsid w:val="00E60B95"/>
    <w:rsid w:val="00E61502"/>
    <w:rsid w:val="00E62743"/>
    <w:rsid w:val="00E63968"/>
    <w:rsid w:val="00E63BA8"/>
    <w:rsid w:val="00E63DFD"/>
    <w:rsid w:val="00E6412F"/>
    <w:rsid w:val="00E64236"/>
    <w:rsid w:val="00E644B7"/>
    <w:rsid w:val="00E64FB8"/>
    <w:rsid w:val="00E6519F"/>
    <w:rsid w:val="00E6524B"/>
    <w:rsid w:val="00E65C85"/>
    <w:rsid w:val="00E65D0C"/>
    <w:rsid w:val="00E65D73"/>
    <w:rsid w:val="00E65E8C"/>
    <w:rsid w:val="00E66D22"/>
    <w:rsid w:val="00E670EE"/>
    <w:rsid w:val="00E678BD"/>
    <w:rsid w:val="00E6796E"/>
    <w:rsid w:val="00E67E64"/>
    <w:rsid w:val="00E7006F"/>
    <w:rsid w:val="00E70819"/>
    <w:rsid w:val="00E70A9B"/>
    <w:rsid w:val="00E70B09"/>
    <w:rsid w:val="00E72055"/>
    <w:rsid w:val="00E733DF"/>
    <w:rsid w:val="00E7348C"/>
    <w:rsid w:val="00E73544"/>
    <w:rsid w:val="00E760C7"/>
    <w:rsid w:val="00E763C4"/>
    <w:rsid w:val="00E7704B"/>
    <w:rsid w:val="00E779D9"/>
    <w:rsid w:val="00E804B8"/>
    <w:rsid w:val="00E8139F"/>
    <w:rsid w:val="00E8184F"/>
    <w:rsid w:val="00E8292A"/>
    <w:rsid w:val="00E82E8B"/>
    <w:rsid w:val="00E835DA"/>
    <w:rsid w:val="00E83C51"/>
    <w:rsid w:val="00E848A3"/>
    <w:rsid w:val="00E84B1B"/>
    <w:rsid w:val="00E84E5E"/>
    <w:rsid w:val="00E85033"/>
    <w:rsid w:val="00E85565"/>
    <w:rsid w:val="00E8563B"/>
    <w:rsid w:val="00E85C46"/>
    <w:rsid w:val="00E8689B"/>
    <w:rsid w:val="00E87169"/>
    <w:rsid w:val="00E87291"/>
    <w:rsid w:val="00E876B1"/>
    <w:rsid w:val="00E87BBA"/>
    <w:rsid w:val="00E907A6"/>
    <w:rsid w:val="00E914B3"/>
    <w:rsid w:val="00E9212B"/>
    <w:rsid w:val="00E922A7"/>
    <w:rsid w:val="00E923B3"/>
    <w:rsid w:val="00E92E1E"/>
    <w:rsid w:val="00E93E4A"/>
    <w:rsid w:val="00E95473"/>
    <w:rsid w:val="00E9571D"/>
    <w:rsid w:val="00E95B29"/>
    <w:rsid w:val="00E966BE"/>
    <w:rsid w:val="00E96E66"/>
    <w:rsid w:val="00E97D0A"/>
    <w:rsid w:val="00EA035F"/>
    <w:rsid w:val="00EA0E77"/>
    <w:rsid w:val="00EA27E0"/>
    <w:rsid w:val="00EA43AE"/>
    <w:rsid w:val="00EA445E"/>
    <w:rsid w:val="00EA467D"/>
    <w:rsid w:val="00EA4704"/>
    <w:rsid w:val="00EA48ED"/>
    <w:rsid w:val="00EA4B35"/>
    <w:rsid w:val="00EA5B16"/>
    <w:rsid w:val="00EA75A6"/>
    <w:rsid w:val="00EA7D93"/>
    <w:rsid w:val="00EB069C"/>
    <w:rsid w:val="00EB0D70"/>
    <w:rsid w:val="00EB1A96"/>
    <w:rsid w:val="00EB2017"/>
    <w:rsid w:val="00EB228A"/>
    <w:rsid w:val="00EB26F6"/>
    <w:rsid w:val="00EB2E25"/>
    <w:rsid w:val="00EB321C"/>
    <w:rsid w:val="00EB3E5A"/>
    <w:rsid w:val="00EB474D"/>
    <w:rsid w:val="00EB4DDD"/>
    <w:rsid w:val="00EB684E"/>
    <w:rsid w:val="00EB6B0C"/>
    <w:rsid w:val="00EB6B6E"/>
    <w:rsid w:val="00EB7496"/>
    <w:rsid w:val="00EB7556"/>
    <w:rsid w:val="00EB78DC"/>
    <w:rsid w:val="00EB7D8E"/>
    <w:rsid w:val="00EC011B"/>
    <w:rsid w:val="00EC1532"/>
    <w:rsid w:val="00EC1D7B"/>
    <w:rsid w:val="00EC210D"/>
    <w:rsid w:val="00EC2716"/>
    <w:rsid w:val="00EC311C"/>
    <w:rsid w:val="00EC36EA"/>
    <w:rsid w:val="00EC4273"/>
    <w:rsid w:val="00EC63B2"/>
    <w:rsid w:val="00EC6703"/>
    <w:rsid w:val="00EC6B0C"/>
    <w:rsid w:val="00EC6EA4"/>
    <w:rsid w:val="00EC71BF"/>
    <w:rsid w:val="00EC7B55"/>
    <w:rsid w:val="00ED0716"/>
    <w:rsid w:val="00ED0FD4"/>
    <w:rsid w:val="00ED1102"/>
    <w:rsid w:val="00ED1349"/>
    <w:rsid w:val="00ED2374"/>
    <w:rsid w:val="00ED2DD3"/>
    <w:rsid w:val="00ED4589"/>
    <w:rsid w:val="00ED4A6C"/>
    <w:rsid w:val="00ED4F08"/>
    <w:rsid w:val="00ED6173"/>
    <w:rsid w:val="00ED6BA9"/>
    <w:rsid w:val="00ED7F09"/>
    <w:rsid w:val="00EE01CC"/>
    <w:rsid w:val="00EE071D"/>
    <w:rsid w:val="00EE11B0"/>
    <w:rsid w:val="00EE1E22"/>
    <w:rsid w:val="00EE2CA0"/>
    <w:rsid w:val="00EE3291"/>
    <w:rsid w:val="00EE348A"/>
    <w:rsid w:val="00EE3596"/>
    <w:rsid w:val="00EE3B70"/>
    <w:rsid w:val="00EE3F0C"/>
    <w:rsid w:val="00EE48F7"/>
    <w:rsid w:val="00EE4E76"/>
    <w:rsid w:val="00EE5637"/>
    <w:rsid w:val="00EE606C"/>
    <w:rsid w:val="00EE6185"/>
    <w:rsid w:val="00EE61B9"/>
    <w:rsid w:val="00EE63C9"/>
    <w:rsid w:val="00EF0808"/>
    <w:rsid w:val="00EF2638"/>
    <w:rsid w:val="00EF46D7"/>
    <w:rsid w:val="00EF4AF1"/>
    <w:rsid w:val="00EF551D"/>
    <w:rsid w:val="00EF582F"/>
    <w:rsid w:val="00EF5B6C"/>
    <w:rsid w:val="00EF5C31"/>
    <w:rsid w:val="00EF6109"/>
    <w:rsid w:val="00EF619F"/>
    <w:rsid w:val="00EF6680"/>
    <w:rsid w:val="00EF6915"/>
    <w:rsid w:val="00EF7EFF"/>
    <w:rsid w:val="00F0049B"/>
    <w:rsid w:val="00F00940"/>
    <w:rsid w:val="00F00B83"/>
    <w:rsid w:val="00F01316"/>
    <w:rsid w:val="00F02B11"/>
    <w:rsid w:val="00F02C0F"/>
    <w:rsid w:val="00F03399"/>
    <w:rsid w:val="00F04713"/>
    <w:rsid w:val="00F060D5"/>
    <w:rsid w:val="00F062A5"/>
    <w:rsid w:val="00F06757"/>
    <w:rsid w:val="00F06958"/>
    <w:rsid w:val="00F06C3B"/>
    <w:rsid w:val="00F071EC"/>
    <w:rsid w:val="00F0723F"/>
    <w:rsid w:val="00F07330"/>
    <w:rsid w:val="00F07534"/>
    <w:rsid w:val="00F102D0"/>
    <w:rsid w:val="00F1063F"/>
    <w:rsid w:val="00F10A48"/>
    <w:rsid w:val="00F10D23"/>
    <w:rsid w:val="00F10F22"/>
    <w:rsid w:val="00F11A4D"/>
    <w:rsid w:val="00F11B9B"/>
    <w:rsid w:val="00F12768"/>
    <w:rsid w:val="00F133D0"/>
    <w:rsid w:val="00F1344F"/>
    <w:rsid w:val="00F141FE"/>
    <w:rsid w:val="00F144DE"/>
    <w:rsid w:val="00F1477A"/>
    <w:rsid w:val="00F149E2"/>
    <w:rsid w:val="00F14DD6"/>
    <w:rsid w:val="00F14EAC"/>
    <w:rsid w:val="00F15E02"/>
    <w:rsid w:val="00F15EFA"/>
    <w:rsid w:val="00F16BEA"/>
    <w:rsid w:val="00F16EB0"/>
    <w:rsid w:val="00F17031"/>
    <w:rsid w:val="00F17D7C"/>
    <w:rsid w:val="00F204FD"/>
    <w:rsid w:val="00F20FA6"/>
    <w:rsid w:val="00F21008"/>
    <w:rsid w:val="00F213BE"/>
    <w:rsid w:val="00F21564"/>
    <w:rsid w:val="00F21A28"/>
    <w:rsid w:val="00F21BA0"/>
    <w:rsid w:val="00F232A8"/>
    <w:rsid w:val="00F23DC9"/>
    <w:rsid w:val="00F23F10"/>
    <w:rsid w:val="00F25AFF"/>
    <w:rsid w:val="00F26544"/>
    <w:rsid w:val="00F269FE"/>
    <w:rsid w:val="00F27B4D"/>
    <w:rsid w:val="00F27B90"/>
    <w:rsid w:val="00F301C3"/>
    <w:rsid w:val="00F302FD"/>
    <w:rsid w:val="00F309C8"/>
    <w:rsid w:val="00F30B3D"/>
    <w:rsid w:val="00F30C8A"/>
    <w:rsid w:val="00F315C5"/>
    <w:rsid w:val="00F3242A"/>
    <w:rsid w:val="00F32624"/>
    <w:rsid w:val="00F328CC"/>
    <w:rsid w:val="00F32DCE"/>
    <w:rsid w:val="00F32EA5"/>
    <w:rsid w:val="00F341A0"/>
    <w:rsid w:val="00F345A2"/>
    <w:rsid w:val="00F34A34"/>
    <w:rsid w:val="00F34FAD"/>
    <w:rsid w:val="00F3513D"/>
    <w:rsid w:val="00F35420"/>
    <w:rsid w:val="00F3547A"/>
    <w:rsid w:val="00F35883"/>
    <w:rsid w:val="00F3628F"/>
    <w:rsid w:val="00F37F5D"/>
    <w:rsid w:val="00F40AB1"/>
    <w:rsid w:val="00F41426"/>
    <w:rsid w:val="00F41B54"/>
    <w:rsid w:val="00F41DE8"/>
    <w:rsid w:val="00F420A8"/>
    <w:rsid w:val="00F4221D"/>
    <w:rsid w:val="00F424B2"/>
    <w:rsid w:val="00F42821"/>
    <w:rsid w:val="00F42944"/>
    <w:rsid w:val="00F42980"/>
    <w:rsid w:val="00F42C8D"/>
    <w:rsid w:val="00F42D03"/>
    <w:rsid w:val="00F43E70"/>
    <w:rsid w:val="00F445D5"/>
    <w:rsid w:val="00F45147"/>
    <w:rsid w:val="00F45DB0"/>
    <w:rsid w:val="00F4608D"/>
    <w:rsid w:val="00F47478"/>
    <w:rsid w:val="00F476D0"/>
    <w:rsid w:val="00F47C3F"/>
    <w:rsid w:val="00F5062F"/>
    <w:rsid w:val="00F5187F"/>
    <w:rsid w:val="00F51DED"/>
    <w:rsid w:val="00F522EE"/>
    <w:rsid w:val="00F5364D"/>
    <w:rsid w:val="00F5387B"/>
    <w:rsid w:val="00F54754"/>
    <w:rsid w:val="00F55C81"/>
    <w:rsid w:val="00F560DE"/>
    <w:rsid w:val="00F569B4"/>
    <w:rsid w:val="00F56B80"/>
    <w:rsid w:val="00F56C98"/>
    <w:rsid w:val="00F573DD"/>
    <w:rsid w:val="00F60853"/>
    <w:rsid w:val="00F61C64"/>
    <w:rsid w:val="00F634E2"/>
    <w:rsid w:val="00F647DB"/>
    <w:rsid w:val="00F649CE"/>
    <w:rsid w:val="00F65940"/>
    <w:rsid w:val="00F65A39"/>
    <w:rsid w:val="00F65F42"/>
    <w:rsid w:val="00F6626F"/>
    <w:rsid w:val="00F66791"/>
    <w:rsid w:val="00F66BBC"/>
    <w:rsid w:val="00F66CD1"/>
    <w:rsid w:val="00F67D76"/>
    <w:rsid w:val="00F701E2"/>
    <w:rsid w:val="00F70E6F"/>
    <w:rsid w:val="00F7101E"/>
    <w:rsid w:val="00F711D4"/>
    <w:rsid w:val="00F71C8A"/>
    <w:rsid w:val="00F71DD9"/>
    <w:rsid w:val="00F72131"/>
    <w:rsid w:val="00F721DD"/>
    <w:rsid w:val="00F73028"/>
    <w:rsid w:val="00F73080"/>
    <w:rsid w:val="00F73A4E"/>
    <w:rsid w:val="00F73EBA"/>
    <w:rsid w:val="00F74B18"/>
    <w:rsid w:val="00F75908"/>
    <w:rsid w:val="00F75C11"/>
    <w:rsid w:val="00F75F87"/>
    <w:rsid w:val="00F7675D"/>
    <w:rsid w:val="00F76E36"/>
    <w:rsid w:val="00F77267"/>
    <w:rsid w:val="00F80D41"/>
    <w:rsid w:val="00F80F32"/>
    <w:rsid w:val="00F81073"/>
    <w:rsid w:val="00F81561"/>
    <w:rsid w:val="00F82CD2"/>
    <w:rsid w:val="00F82F4A"/>
    <w:rsid w:val="00F82F8A"/>
    <w:rsid w:val="00F831F4"/>
    <w:rsid w:val="00F8320C"/>
    <w:rsid w:val="00F8366C"/>
    <w:rsid w:val="00F836FE"/>
    <w:rsid w:val="00F8384C"/>
    <w:rsid w:val="00F83E68"/>
    <w:rsid w:val="00F840A7"/>
    <w:rsid w:val="00F8479D"/>
    <w:rsid w:val="00F847F9"/>
    <w:rsid w:val="00F84E72"/>
    <w:rsid w:val="00F8515B"/>
    <w:rsid w:val="00F859AE"/>
    <w:rsid w:val="00F86046"/>
    <w:rsid w:val="00F86375"/>
    <w:rsid w:val="00F86646"/>
    <w:rsid w:val="00F87B01"/>
    <w:rsid w:val="00F90F60"/>
    <w:rsid w:val="00F92432"/>
    <w:rsid w:val="00F925B9"/>
    <w:rsid w:val="00F92CD2"/>
    <w:rsid w:val="00F92DBA"/>
    <w:rsid w:val="00F93A2E"/>
    <w:rsid w:val="00F93BC9"/>
    <w:rsid w:val="00F94E75"/>
    <w:rsid w:val="00F9570D"/>
    <w:rsid w:val="00F95E4D"/>
    <w:rsid w:val="00F96221"/>
    <w:rsid w:val="00F97710"/>
    <w:rsid w:val="00F97BE3"/>
    <w:rsid w:val="00F97CF2"/>
    <w:rsid w:val="00F97E9F"/>
    <w:rsid w:val="00FA014D"/>
    <w:rsid w:val="00FA089A"/>
    <w:rsid w:val="00FA1A47"/>
    <w:rsid w:val="00FA1BCF"/>
    <w:rsid w:val="00FA2F46"/>
    <w:rsid w:val="00FA39B9"/>
    <w:rsid w:val="00FA3F62"/>
    <w:rsid w:val="00FA3FAA"/>
    <w:rsid w:val="00FA4666"/>
    <w:rsid w:val="00FA467E"/>
    <w:rsid w:val="00FA56FD"/>
    <w:rsid w:val="00FA5F54"/>
    <w:rsid w:val="00FA5F5B"/>
    <w:rsid w:val="00FA604D"/>
    <w:rsid w:val="00FA682E"/>
    <w:rsid w:val="00FA6BF8"/>
    <w:rsid w:val="00FA6EBE"/>
    <w:rsid w:val="00FA7204"/>
    <w:rsid w:val="00FA734A"/>
    <w:rsid w:val="00FA78EC"/>
    <w:rsid w:val="00FA7A67"/>
    <w:rsid w:val="00FB08C1"/>
    <w:rsid w:val="00FB163A"/>
    <w:rsid w:val="00FB1987"/>
    <w:rsid w:val="00FB2983"/>
    <w:rsid w:val="00FB2BB1"/>
    <w:rsid w:val="00FB3005"/>
    <w:rsid w:val="00FB348D"/>
    <w:rsid w:val="00FB3726"/>
    <w:rsid w:val="00FB398A"/>
    <w:rsid w:val="00FB42BB"/>
    <w:rsid w:val="00FB473E"/>
    <w:rsid w:val="00FB5858"/>
    <w:rsid w:val="00FB597D"/>
    <w:rsid w:val="00FB59DA"/>
    <w:rsid w:val="00FB62B9"/>
    <w:rsid w:val="00FB633C"/>
    <w:rsid w:val="00FB71E3"/>
    <w:rsid w:val="00FB7ACB"/>
    <w:rsid w:val="00FB7AF7"/>
    <w:rsid w:val="00FB7BC7"/>
    <w:rsid w:val="00FC1083"/>
    <w:rsid w:val="00FC1562"/>
    <w:rsid w:val="00FC1A05"/>
    <w:rsid w:val="00FC25B1"/>
    <w:rsid w:val="00FC31AA"/>
    <w:rsid w:val="00FC4C03"/>
    <w:rsid w:val="00FC535C"/>
    <w:rsid w:val="00FC54F2"/>
    <w:rsid w:val="00FC5A97"/>
    <w:rsid w:val="00FC6106"/>
    <w:rsid w:val="00FC6EDA"/>
    <w:rsid w:val="00FC7072"/>
    <w:rsid w:val="00FC79AA"/>
    <w:rsid w:val="00FD01B4"/>
    <w:rsid w:val="00FD085E"/>
    <w:rsid w:val="00FD2171"/>
    <w:rsid w:val="00FD3E26"/>
    <w:rsid w:val="00FD4C89"/>
    <w:rsid w:val="00FD4CFA"/>
    <w:rsid w:val="00FD525D"/>
    <w:rsid w:val="00FD580C"/>
    <w:rsid w:val="00FD64F4"/>
    <w:rsid w:val="00FD67CC"/>
    <w:rsid w:val="00FE0188"/>
    <w:rsid w:val="00FE0C44"/>
    <w:rsid w:val="00FE2B3C"/>
    <w:rsid w:val="00FE3E86"/>
    <w:rsid w:val="00FE3F87"/>
    <w:rsid w:val="00FE4779"/>
    <w:rsid w:val="00FE51C4"/>
    <w:rsid w:val="00FE5390"/>
    <w:rsid w:val="00FE6378"/>
    <w:rsid w:val="00FE69C0"/>
    <w:rsid w:val="00FF06AE"/>
    <w:rsid w:val="00FF0C18"/>
    <w:rsid w:val="00FF11CB"/>
    <w:rsid w:val="00FF158C"/>
    <w:rsid w:val="00FF18A8"/>
    <w:rsid w:val="00FF1980"/>
    <w:rsid w:val="00FF1D90"/>
    <w:rsid w:val="00FF1DF6"/>
    <w:rsid w:val="00FF2B39"/>
    <w:rsid w:val="00FF2CE8"/>
    <w:rsid w:val="00FF4E77"/>
    <w:rsid w:val="00FF557F"/>
    <w:rsid w:val="00FF6BAB"/>
    <w:rsid w:val="01A30549"/>
    <w:rsid w:val="01A56261"/>
    <w:rsid w:val="01AF0E8E"/>
    <w:rsid w:val="01BD5877"/>
    <w:rsid w:val="01BE0B84"/>
    <w:rsid w:val="01FB40D3"/>
    <w:rsid w:val="020C008E"/>
    <w:rsid w:val="02104022"/>
    <w:rsid w:val="021421B7"/>
    <w:rsid w:val="022E180E"/>
    <w:rsid w:val="022E26FA"/>
    <w:rsid w:val="02346A1E"/>
    <w:rsid w:val="024C448D"/>
    <w:rsid w:val="024E68F9"/>
    <w:rsid w:val="028A583A"/>
    <w:rsid w:val="02922C89"/>
    <w:rsid w:val="02A902E6"/>
    <w:rsid w:val="02AF74EF"/>
    <w:rsid w:val="02D97D23"/>
    <w:rsid w:val="03101D36"/>
    <w:rsid w:val="031B2C7F"/>
    <w:rsid w:val="03575C81"/>
    <w:rsid w:val="03A04F32"/>
    <w:rsid w:val="03E5503B"/>
    <w:rsid w:val="040F5238"/>
    <w:rsid w:val="045C2808"/>
    <w:rsid w:val="04774B03"/>
    <w:rsid w:val="04787AF8"/>
    <w:rsid w:val="04A36247"/>
    <w:rsid w:val="04C74740"/>
    <w:rsid w:val="05085485"/>
    <w:rsid w:val="05341435"/>
    <w:rsid w:val="05740424"/>
    <w:rsid w:val="05AD0366"/>
    <w:rsid w:val="05AF6A7D"/>
    <w:rsid w:val="05B07149"/>
    <w:rsid w:val="05F31C91"/>
    <w:rsid w:val="060F2843"/>
    <w:rsid w:val="064217FF"/>
    <w:rsid w:val="06772F85"/>
    <w:rsid w:val="06BF1B73"/>
    <w:rsid w:val="06E635A4"/>
    <w:rsid w:val="07035907"/>
    <w:rsid w:val="071D689A"/>
    <w:rsid w:val="073D19E3"/>
    <w:rsid w:val="07893F2F"/>
    <w:rsid w:val="079F2AD6"/>
    <w:rsid w:val="07CB7F20"/>
    <w:rsid w:val="08332819"/>
    <w:rsid w:val="08386081"/>
    <w:rsid w:val="085602B5"/>
    <w:rsid w:val="088F37C7"/>
    <w:rsid w:val="08E077EE"/>
    <w:rsid w:val="08F63846"/>
    <w:rsid w:val="09320D22"/>
    <w:rsid w:val="093920B1"/>
    <w:rsid w:val="093957DA"/>
    <w:rsid w:val="094C5396"/>
    <w:rsid w:val="09963123"/>
    <w:rsid w:val="099D1B7D"/>
    <w:rsid w:val="09BB5113"/>
    <w:rsid w:val="09C50588"/>
    <w:rsid w:val="09E162A4"/>
    <w:rsid w:val="09EF0154"/>
    <w:rsid w:val="09F97B6F"/>
    <w:rsid w:val="0A314B36"/>
    <w:rsid w:val="0A4D7496"/>
    <w:rsid w:val="0A4F0E8D"/>
    <w:rsid w:val="0A5A1A5C"/>
    <w:rsid w:val="0A621F79"/>
    <w:rsid w:val="0A651CCA"/>
    <w:rsid w:val="0A7333A0"/>
    <w:rsid w:val="0A7A49E8"/>
    <w:rsid w:val="0A8676CF"/>
    <w:rsid w:val="0A99092D"/>
    <w:rsid w:val="0AD61B81"/>
    <w:rsid w:val="0B0249FE"/>
    <w:rsid w:val="0B2B4994"/>
    <w:rsid w:val="0B424C33"/>
    <w:rsid w:val="0BA91639"/>
    <w:rsid w:val="0BA92DF2"/>
    <w:rsid w:val="0BDF4C6D"/>
    <w:rsid w:val="0C721D2F"/>
    <w:rsid w:val="0C757FA6"/>
    <w:rsid w:val="0CAD64C0"/>
    <w:rsid w:val="0CF12CA2"/>
    <w:rsid w:val="0D167098"/>
    <w:rsid w:val="0D3B72FD"/>
    <w:rsid w:val="0D576FA9"/>
    <w:rsid w:val="0D70498E"/>
    <w:rsid w:val="0D947F9C"/>
    <w:rsid w:val="0DA87805"/>
    <w:rsid w:val="0DB54A44"/>
    <w:rsid w:val="0DD51C7C"/>
    <w:rsid w:val="0DEE7ECC"/>
    <w:rsid w:val="0E012A71"/>
    <w:rsid w:val="0E191324"/>
    <w:rsid w:val="0E3552E5"/>
    <w:rsid w:val="0E460DCC"/>
    <w:rsid w:val="0E5057A7"/>
    <w:rsid w:val="0E653000"/>
    <w:rsid w:val="0E6574A4"/>
    <w:rsid w:val="0EC22162"/>
    <w:rsid w:val="0EC76C1D"/>
    <w:rsid w:val="0EC84D75"/>
    <w:rsid w:val="0F046CBD"/>
    <w:rsid w:val="0F3D15B7"/>
    <w:rsid w:val="0F4D5650"/>
    <w:rsid w:val="0F5A3EDF"/>
    <w:rsid w:val="0F723C27"/>
    <w:rsid w:val="0FBE6C35"/>
    <w:rsid w:val="0FD61CDB"/>
    <w:rsid w:val="0FEC1166"/>
    <w:rsid w:val="106C77E9"/>
    <w:rsid w:val="107240FA"/>
    <w:rsid w:val="10B02A1C"/>
    <w:rsid w:val="10D64689"/>
    <w:rsid w:val="10D67913"/>
    <w:rsid w:val="10E979C6"/>
    <w:rsid w:val="10F36FE9"/>
    <w:rsid w:val="111371FF"/>
    <w:rsid w:val="115832F0"/>
    <w:rsid w:val="116A4DD1"/>
    <w:rsid w:val="11951E4E"/>
    <w:rsid w:val="11C00C40"/>
    <w:rsid w:val="11EB57F8"/>
    <w:rsid w:val="11F76665"/>
    <w:rsid w:val="11F8062F"/>
    <w:rsid w:val="11FA7537"/>
    <w:rsid w:val="12002695"/>
    <w:rsid w:val="120A6839"/>
    <w:rsid w:val="12234D50"/>
    <w:rsid w:val="12962136"/>
    <w:rsid w:val="12B969E9"/>
    <w:rsid w:val="12C7072D"/>
    <w:rsid w:val="12E60488"/>
    <w:rsid w:val="130308B5"/>
    <w:rsid w:val="131D4D2F"/>
    <w:rsid w:val="131E40C5"/>
    <w:rsid w:val="13453400"/>
    <w:rsid w:val="13653AA2"/>
    <w:rsid w:val="136F66CF"/>
    <w:rsid w:val="13975A8E"/>
    <w:rsid w:val="13B642FE"/>
    <w:rsid w:val="13E51606"/>
    <w:rsid w:val="13EE098B"/>
    <w:rsid w:val="13F41E03"/>
    <w:rsid w:val="14005640"/>
    <w:rsid w:val="14065C9D"/>
    <w:rsid w:val="14071632"/>
    <w:rsid w:val="1417511F"/>
    <w:rsid w:val="14292D22"/>
    <w:rsid w:val="144F6270"/>
    <w:rsid w:val="145F4995"/>
    <w:rsid w:val="14634F22"/>
    <w:rsid w:val="14690292"/>
    <w:rsid w:val="147B333E"/>
    <w:rsid w:val="14956892"/>
    <w:rsid w:val="14B922F8"/>
    <w:rsid w:val="151917F5"/>
    <w:rsid w:val="152810E0"/>
    <w:rsid w:val="15412F7D"/>
    <w:rsid w:val="15415E49"/>
    <w:rsid w:val="155344FA"/>
    <w:rsid w:val="15755BB2"/>
    <w:rsid w:val="15791A87"/>
    <w:rsid w:val="159165E6"/>
    <w:rsid w:val="159B1D4C"/>
    <w:rsid w:val="159D39C7"/>
    <w:rsid w:val="15AC7766"/>
    <w:rsid w:val="15B44C62"/>
    <w:rsid w:val="15C103A8"/>
    <w:rsid w:val="16094BB9"/>
    <w:rsid w:val="161206F8"/>
    <w:rsid w:val="16182ADC"/>
    <w:rsid w:val="162157A5"/>
    <w:rsid w:val="163B5EF6"/>
    <w:rsid w:val="16440397"/>
    <w:rsid w:val="169D6E6A"/>
    <w:rsid w:val="16C805D0"/>
    <w:rsid w:val="16E5136D"/>
    <w:rsid w:val="16E573D4"/>
    <w:rsid w:val="170B4961"/>
    <w:rsid w:val="17307AC5"/>
    <w:rsid w:val="177B1AE6"/>
    <w:rsid w:val="17832749"/>
    <w:rsid w:val="17A0779F"/>
    <w:rsid w:val="17C023C8"/>
    <w:rsid w:val="17CE60BA"/>
    <w:rsid w:val="17D336D0"/>
    <w:rsid w:val="17D60114"/>
    <w:rsid w:val="17E30EE2"/>
    <w:rsid w:val="17EA2593"/>
    <w:rsid w:val="183F1C40"/>
    <w:rsid w:val="185264E7"/>
    <w:rsid w:val="188449CB"/>
    <w:rsid w:val="18BA4890"/>
    <w:rsid w:val="18C0755B"/>
    <w:rsid w:val="18C105A4"/>
    <w:rsid w:val="18E37943"/>
    <w:rsid w:val="18E958C3"/>
    <w:rsid w:val="18F03E0E"/>
    <w:rsid w:val="19017DC9"/>
    <w:rsid w:val="191D2683"/>
    <w:rsid w:val="192C38B8"/>
    <w:rsid w:val="19540841"/>
    <w:rsid w:val="196B4410"/>
    <w:rsid w:val="19BB04F7"/>
    <w:rsid w:val="19FC720C"/>
    <w:rsid w:val="1A4268EB"/>
    <w:rsid w:val="1A8C7B66"/>
    <w:rsid w:val="1AA44108"/>
    <w:rsid w:val="1AB15408"/>
    <w:rsid w:val="1ACC4407"/>
    <w:rsid w:val="1AD734D7"/>
    <w:rsid w:val="1AF000F5"/>
    <w:rsid w:val="1AFE6CB6"/>
    <w:rsid w:val="1B0F0EC3"/>
    <w:rsid w:val="1B410951"/>
    <w:rsid w:val="1B55264E"/>
    <w:rsid w:val="1B6E7921"/>
    <w:rsid w:val="1B733D9D"/>
    <w:rsid w:val="1BA01BBF"/>
    <w:rsid w:val="1BCC0470"/>
    <w:rsid w:val="1BE834C2"/>
    <w:rsid w:val="1BEC79D8"/>
    <w:rsid w:val="1BFF6654"/>
    <w:rsid w:val="1C0C0F5F"/>
    <w:rsid w:val="1C1607BC"/>
    <w:rsid w:val="1C43057C"/>
    <w:rsid w:val="1CB66CF7"/>
    <w:rsid w:val="1CC218FA"/>
    <w:rsid w:val="1CDF6673"/>
    <w:rsid w:val="1CE066BD"/>
    <w:rsid w:val="1D1A58FD"/>
    <w:rsid w:val="1D1C78C7"/>
    <w:rsid w:val="1D473CA8"/>
    <w:rsid w:val="1D4D766D"/>
    <w:rsid w:val="1D660B43"/>
    <w:rsid w:val="1D733C0D"/>
    <w:rsid w:val="1D7B554A"/>
    <w:rsid w:val="1D7C3EC2"/>
    <w:rsid w:val="1DBE575D"/>
    <w:rsid w:val="1E543ED0"/>
    <w:rsid w:val="1E5C53E3"/>
    <w:rsid w:val="1E652BA8"/>
    <w:rsid w:val="1E6679C8"/>
    <w:rsid w:val="1E7B6870"/>
    <w:rsid w:val="1E8919B8"/>
    <w:rsid w:val="1E962A4E"/>
    <w:rsid w:val="1EB678A8"/>
    <w:rsid w:val="1EDE15BC"/>
    <w:rsid w:val="1EDF6DFF"/>
    <w:rsid w:val="1EED5126"/>
    <w:rsid w:val="1F122D30"/>
    <w:rsid w:val="1F356A1F"/>
    <w:rsid w:val="1F5231A1"/>
    <w:rsid w:val="1F8B4890"/>
    <w:rsid w:val="1FAE259D"/>
    <w:rsid w:val="1FC35DD8"/>
    <w:rsid w:val="1FFB2EBA"/>
    <w:rsid w:val="20046C58"/>
    <w:rsid w:val="20202F8D"/>
    <w:rsid w:val="20453D28"/>
    <w:rsid w:val="20794882"/>
    <w:rsid w:val="20AD2FE5"/>
    <w:rsid w:val="20AE6A88"/>
    <w:rsid w:val="20E00C0C"/>
    <w:rsid w:val="20EA6DC5"/>
    <w:rsid w:val="20F3093F"/>
    <w:rsid w:val="20F33EAE"/>
    <w:rsid w:val="20FB53FA"/>
    <w:rsid w:val="20FF6C23"/>
    <w:rsid w:val="21222FD3"/>
    <w:rsid w:val="2132546A"/>
    <w:rsid w:val="213869D7"/>
    <w:rsid w:val="214D0A1F"/>
    <w:rsid w:val="21556F04"/>
    <w:rsid w:val="21661111"/>
    <w:rsid w:val="217A1338"/>
    <w:rsid w:val="21817CF9"/>
    <w:rsid w:val="219C0FD7"/>
    <w:rsid w:val="219C54E9"/>
    <w:rsid w:val="21A954A2"/>
    <w:rsid w:val="21C21368"/>
    <w:rsid w:val="21DC490F"/>
    <w:rsid w:val="21F42BC1"/>
    <w:rsid w:val="221D495B"/>
    <w:rsid w:val="222010D9"/>
    <w:rsid w:val="22454013"/>
    <w:rsid w:val="22617B2B"/>
    <w:rsid w:val="227855A0"/>
    <w:rsid w:val="22853819"/>
    <w:rsid w:val="22911351"/>
    <w:rsid w:val="22C26121"/>
    <w:rsid w:val="22C34A6F"/>
    <w:rsid w:val="22D158FF"/>
    <w:rsid w:val="22EE1459"/>
    <w:rsid w:val="23302193"/>
    <w:rsid w:val="235F25AE"/>
    <w:rsid w:val="23F46EA8"/>
    <w:rsid w:val="240370EB"/>
    <w:rsid w:val="240E685D"/>
    <w:rsid w:val="242A0B1C"/>
    <w:rsid w:val="245209B3"/>
    <w:rsid w:val="2491228E"/>
    <w:rsid w:val="24AA57B9"/>
    <w:rsid w:val="24B228BF"/>
    <w:rsid w:val="2510248D"/>
    <w:rsid w:val="25537BFE"/>
    <w:rsid w:val="256242E5"/>
    <w:rsid w:val="25831E70"/>
    <w:rsid w:val="25A301D8"/>
    <w:rsid w:val="25D36F91"/>
    <w:rsid w:val="25D638E2"/>
    <w:rsid w:val="25E847EB"/>
    <w:rsid w:val="26013AFE"/>
    <w:rsid w:val="261A5CBA"/>
    <w:rsid w:val="262E41C8"/>
    <w:rsid w:val="263B2464"/>
    <w:rsid w:val="2657371E"/>
    <w:rsid w:val="265A40C1"/>
    <w:rsid w:val="267415D3"/>
    <w:rsid w:val="268E32ED"/>
    <w:rsid w:val="26B119D0"/>
    <w:rsid w:val="26B741BD"/>
    <w:rsid w:val="26B862C1"/>
    <w:rsid w:val="26D233BC"/>
    <w:rsid w:val="26F613A3"/>
    <w:rsid w:val="271B474C"/>
    <w:rsid w:val="272768F2"/>
    <w:rsid w:val="2762006E"/>
    <w:rsid w:val="277327DA"/>
    <w:rsid w:val="27A941DC"/>
    <w:rsid w:val="27CF0DF1"/>
    <w:rsid w:val="27DF39CB"/>
    <w:rsid w:val="27E31A18"/>
    <w:rsid w:val="27EC49DC"/>
    <w:rsid w:val="282B09BF"/>
    <w:rsid w:val="285E39DF"/>
    <w:rsid w:val="28667C49"/>
    <w:rsid w:val="287748DD"/>
    <w:rsid w:val="287E1436"/>
    <w:rsid w:val="288442A7"/>
    <w:rsid w:val="28A8735C"/>
    <w:rsid w:val="28A90B43"/>
    <w:rsid w:val="28AB7D51"/>
    <w:rsid w:val="28B9391B"/>
    <w:rsid w:val="28C037FD"/>
    <w:rsid w:val="28D56330"/>
    <w:rsid w:val="28D862D1"/>
    <w:rsid w:val="28FC05AD"/>
    <w:rsid w:val="292334EB"/>
    <w:rsid w:val="29233D8C"/>
    <w:rsid w:val="292B5C83"/>
    <w:rsid w:val="296B2B4C"/>
    <w:rsid w:val="297D2D81"/>
    <w:rsid w:val="298615FF"/>
    <w:rsid w:val="29916F47"/>
    <w:rsid w:val="29BD6213"/>
    <w:rsid w:val="29C015DB"/>
    <w:rsid w:val="29CC7F7F"/>
    <w:rsid w:val="29E96276"/>
    <w:rsid w:val="2A0D0CC4"/>
    <w:rsid w:val="2A187669"/>
    <w:rsid w:val="2A573CED"/>
    <w:rsid w:val="2A697EC4"/>
    <w:rsid w:val="2A733A16"/>
    <w:rsid w:val="2A791B73"/>
    <w:rsid w:val="2A8F4557"/>
    <w:rsid w:val="2AB05BE8"/>
    <w:rsid w:val="2ABF13A7"/>
    <w:rsid w:val="2B10318C"/>
    <w:rsid w:val="2B253DEB"/>
    <w:rsid w:val="2B42499D"/>
    <w:rsid w:val="2B6D59E3"/>
    <w:rsid w:val="2BBD04C8"/>
    <w:rsid w:val="2BC73317"/>
    <w:rsid w:val="2BD965DE"/>
    <w:rsid w:val="2BDC04A4"/>
    <w:rsid w:val="2BE57FA0"/>
    <w:rsid w:val="2BF74D12"/>
    <w:rsid w:val="2C2B48E1"/>
    <w:rsid w:val="2CA02085"/>
    <w:rsid w:val="2CBF4515"/>
    <w:rsid w:val="2D0637A8"/>
    <w:rsid w:val="2D067C4C"/>
    <w:rsid w:val="2D26604E"/>
    <w:rsid w:val="2D4744ED"/>
    <w:rsid w:val="2D752436"/>
    <w:rsid w:val="2D83304B"/>
    <w:rsid w:val="2E3B584C"/>
    <w:rsid w:val="2E476356"/>
    <w:rsid w:val="2E4E3635"/>
    <w:rsid w:val="2E6351ED"/>
    <w:rsid w:val="2E9077CD"/>
    <w:rsid w:val="2ECE02F6"/>
    <w:rsid w:val="2F0D52C2"/>
    <w:rsid w:val="2F124055"/>
    <w:rsid w:val="2F25216B"/>
    <w:rsid w:val="2F49301F"/>
    <w:rsid w:val="2F922706"/>
    <w:rsid w:val="2FDA6C9B"/>
    <w:rsid w:val="2FE02E8C"/>
    <w:rsid w:val="2FE631FB"/>
    <w:rsid w:val="2FEE73C3"/>
    <w:rsid w:val="30191A45"/>
    <w:rsid w:val="30420E1E"/>
    <w:rsid w:val="30541150"/>
    <w:rsid w:val="307F3F9D"/>
    <w:rsid w:val="30831646"/>
    <w:rsid w:val="309061AB"/>
    <w:rsid w:val="30A33C48"/>
    <w:rsid w:val="30BD5CDE"/>
    <w:rsid w:val="30D047F9"/>
    <w:rsid w:val="30D058CB"/>
    <w:rsid w:val="30E46863"/>
    <w:rsid w:val="30F93D50"/>
    <w:rsid w:val="30FE0870"/>
    <w:rsid w:val="31016418"/>
    <w:rsid w:val="310B3A83"/>
    <w:rsid w:val="312A6CF4"/>
    <w:rsid w:val="312E7CD5"/>
    <w:rsid w:val="31305298"/>
    <w:rsid w:val="313C59EB"/>
    <w:rsid w:val="31440271"/>
    <w:rsid w:val="3148438F"/>
    <w:rsid w:val="315C608D"/>
    <w:rsid w:val="317653A0"/>
    <w:rsid w:val="319465EF"/>
    <w:rsid w:val="31FE26C2"/>
    <w:rsid w:val="32197395"/>
    <w:rsid w:val="3227669B"/>
    <w:rsid w:val="323A6E2B"/>
    <w:rsid w:val="324A2389"/>
    <w:rsid w:val="32571829"/>
    <w:rsid w:val="325F5373"/>
    <w:rsid w:val="32795DDA"/>
    <w:rsid w:val="328F5FEE"/>
    <w:rsid w:val="32F775DB"/>
    <w:rsid w:val="33294694"/>
    <w:rsid w:val="33525999"/>
    <w:rsid w:val="335D7E9A"/>
    <w:rsid w:val="33733C71"/>
    <w:rsid w:val="337C76DF"/>
    <w:rsid w:val="3391719E"/>
    <w:rsid w:val="33D95AC9"/>
    <w:rsid w:val="33E660E2"/>
    <w:rsid w:val="33E81E5A"/>
    <w:rsid w:val="33EC194A"/>
    <w:rsid w:val="341F0B62"/>
    <w:rsid w:val="342A06C4"/>
    <w:rsid w:val="348D57A4"/>
    <w:rsid w:val="349671EF"/>
    <w:rsid w:val="34A37BE7"/>
    <w:rsid w:val="34F13CB6"/>
    <w:rsid w:val="34F7434F"/>
    <w:rsid w:val="35513BFC"/>
    <w:rsid w:val="3558300F"/>
    <w:rsid w:val="35617B6D"/>
    <w:rsid w:val="356A0ACC"/>
    <w:rsid w:val="35727C2D"/>
    <w:rsid w:val="357C4F4F"/>
    <w:rsid w:val="35800C23"/>
    <w:rsid w:val="35833995"/>
    <w:rsid w:val="3586192A"/>
    <w:rsid w:val="35BE3872"/>
    <w:rsid w:val="35C30488"/>
    <w:rsid w:val="35D744CB"/>
    <w:rsid w:val="35DC779C"/>
    <w:rsid w:val="35DE3514"/>
    <w:rsid w:val="35E57484"/>
    <w:rsid w:val="3667744A"/>
    <w:rsid w:val="367C0AD9"/>
    <w:rsid w:val="36DF2FF2"/>
    <w:rsid w:val="36E7464B"/>
    <w:rsid w:val="36EC1C61"/>
    <w:rsid w:val="36EF34FF"/>
    <w:rsid w:val="36F17277"/>
    <w:rsid w:val="37027535"/>
    <w:rsid w:val="371117BB"/>
    <w:rsid w:val="37232B2D"/>
    <w:rsid w:val="37262E4A"/>
    <w:rsid w:val="374C2700"/>
    <w:rsid w:val="376E08C8"/>
    <w:rsid w:val="376F78C2"/>
    <w:rsid w:val="37824373"/>
    <w:rsid w:val="379B4CE8"/>
    <w:rsid w:val="37BE184F"/>
    <w:rsid w:val="37C53146"/>
    <w:rsid w:val="37E87864"/>
    <w:rsid w:val="37F039D3"/>
    <w:rsid w:val="38356BEE"/>
    <w:rsid w:val="38402264"/>
    <w:rsid w:val="384A4E91"/>
    <w:rsid w:val="39317DFF"/>
    <w:rsid w:val="393C0294"/>
    <w:rsid w:val="39447B32"/>
    <w:rsid w:val="39757CF4"/>
    <w:rsid w:val="397A0941"/>
    <w:rsid w:val="397C48DA"/>
    <w:rsid w:val="39812B34"/>
    <w:rsid w:val="39A131D7"/>
    <w:rsid w:val="39AE28A6"/>
    <w:rsid w:val="39B00DE1"/>
    <w:rsid w:val="39C57423"/>
    <w:rsid w:val="39C9711E"/>
    <w:rsid w:val="3A325B81"/>
    <w:rsid w:val="3A445391"/>
    <w:rsid w:val="3A6366DE"/>
    <w:rsid w:val="3A8B6E9D"/>
    <w:rsid w:val="3AAE68B3"/>
    <w:rsid w:val="3AF410E4"/>
    <w:rsid w:val="3AF86E26"/>
    <w:rsid w:val="3B1B2B15"/>
    <w:rsid w:val="3B4C444E"/>
    <w:rsid w:val="3B5F10FA"/>
    <w:rsid w:val="3B787F67"/>
    <w:rsid w:val="3B862684"/>
    <w:rsid w:val="3B8C292B"/>
    <w:rsid w:val="3BC55FF2"/>
    <w:rsid w:val="3C1A3EC6"/>
    <w:rsid w:val="3C237593"/>
    <w:rsid w:val="3C404FE9"/>
    <w:rsid w:val="3C9455DD"/>
    <w:rsid w:val="3CC86CCC"/>
    <w:rsid w:val="3CF3051D"/>
    <w:rsid w:val="3CFB2B4B"/>
    <w:rsid w:val="3CFD2961"/>
    <w:rsid w:val="3D0C533B"/>
    <w:rsid w:val="3D214EAE"/>
    <w:rsid w:val="3D2471BC"/>
    <w:rsid w:val="3D94551C"/>
    <w:rsid w:val="3DE356DF"/>
    <w:rsid w:val="3DF24001"/>
    <w:rsid w:val="3E183A06"/>
    <w:rsid w:val="3E1A1D44"/>
    <w:rsid w:val="3E424F53"/>
    <w:rsid w:val="3E493204"/>
    <w:rsid w:val="3E5A7DF8"/>
    <w:rsid w:val="3EB42F24"/>
    <w:rsid w:val="3EBC6924"/>
    <w:rsid w:val="3EC86B10"/>
    <w:rsid w:val="3EF1250A"/>
    <w:rsid w:val="3F0F7364"/>
    <w:rsid w:val="3F377E68"/>
    <w:rsid w:val="3F7D5B4C"/>
    <w:rsid w:val="3F8C7DF0"/>
    <w:rsid w:val="3F93536F"/>
    <w:rsid w:val="3FB40AC1"/>
    <w:rsid w:val="3FD634AE"/>
    <w:rsid w:val="3FE26424"/>
    <w:rsid w:val="3FF619EC"/>
    <w:rsid w:val="401D2E8B"/>
    <w:rsid w:val="40204729"/>
    <w:rsid w:val="402245A4"/>
    <w:rsid w:val="402661E4"/>
    <w:rsid w:val="40830ED1"/>
    <w:rsid w:val="40842F0A"/>
    <w:rsid w:val="40880C4C"/>
    <w:rsid w:val="409822E4"/>
    <w:rsid w:val="409A0980"/>
    <w:rsid w:val="40C357E1"/>
    <w:rsid w:val="40C83FB1"/>
    <w:rsid w:val="4103305F"/>
    <w:rsid w:val="410F6A8C"/>
    <w:rsid w:val="41111AC4"/>
    <w:rsid w:val="41211A7D"/>
    <w:rsid w:val="414508EB"/>
    <w:rsid w:val="41717932"/>
    <w:rsid w:val="41766CF7"/>
    <w:rsid w:val="4182744A"/>
    <w:rsid w:val="41911D83"/>
    <w:rsid w:val="41984EBF"/>
    <w:rsid w:val="41A818B6"/>
    <w:rsid w:val="41AF3FB7"/>
    <w:rsid w:val="41B45A71"/>
    <w:rsid w:val="41CA268C"/>
    <w:rsid w:val="41D56A6C"/>
    <w:rsid w:val="421412D9"/>
    <w:rsid w:val="422449A5"/>
    <w:rsid w:val="42684CC9"/>
    <w:rsid w:val="42734FE4"/>
    <w:rsid w:val="429A5DF0"/>
    <w:rsid w:val="429C0749"/>
    <w:rsid w:val="42B17BC8"/>
    <w:rsid w:val="42C83582"/>
    <w:rsid w:val="42E50476"/>
    <w:rsid w:val="42FA3419"/>
    <w:rsid w:val="43156ABB"/>
    <w:rsid w:val="43203A18"/>
    <w:rsid w:val="43236A0A"/>
    <w:rsid w:val="434D0234"/>
    <w:rsid w:val="4350365B"/>
    <w:rsid w:val="436754B3"/>
    <w:rsid w:val="438A1685"/>
    <w:rsid w:val="43B7334D"/>
    <w:rsid w:val="43D87EC1"/>
    <w:rsid w:val="43FC7317"/>
    <w:rsid w:val="44071E88"/>
    <w:rsid w:val="4413082D"/>
    <w:rsid w:val="442E1B0B"/>
    <w:rsid w:val="443929D5"/>
    <w:rsid w:val="447454EC"/>
    <w:rsid w:val="448A37DC"/>
    <w:rsid w:val="44DB0B82"/>
    <w:rsid w:val="44DF1057"/>
    <w:rsid w:val="451004C4"/>
    <w:rsid w:val="45361879"/>
    <w:rsid w:val="45513E1F"/>
    <w:rsid w:val="45967968"/>
    <w:rsid w:val="45B16C44"/>
    <w:rsid w:val="45C5006B"/>
    <w:rsid w:val="45EE1552"/>
    <w:rsid w:val="45FE6141"/>
    <w:rsid w:val="46044B84"/>
    <w:rsid w:val="462233E2"/>
    <w:rsid w:val="464C6278"/>
    <w:rsid w:val="464E438B"/>
    <w:rsid w:val="464F31E3"/>
    <w:rsid w:val="46552D3E"/>
    <w:rsid w:val="46686ED2"/>
    <w:rsid w:val="466B310A"/>
    <w:rsid w:val="466F6BBE"/>
    <w:rsid w:val="469043B7"/>
    <w:rsid w:val="46965745"/>
    <w:rsid w:val="46CF7B75"/>
    <w:rsid w:val="472745EF"/>
    <w:rsid w:val="4737616D"/>
    <w:rsid w:val="473E2065"/>
    <w:rsid w:val="47427A1F"/>
    <w:rsid w:val="475F022D"/>
    <w:rsid w:val="475F7319"/>
    <w:rsid w:val="47665118"/>
    <w:rsid w:val="4780267D"/>
    <w:rsid w:val="47CC1F19"/>
    <w:rsid w:val="480E1877"/>
    <w:rsid w:val="4823125B"/>
    <w:rsid w:val="482847D4"/>
    <w:rsid w:val="484932D2"/>
    <w:rsid w:val="48575A22"/>
    <w:rsid w:val="485913F3"/>
    <w:rsid w:val="48715214"/>
    <w:rsid w:val="487246ED"/>
    <w:rsid w:val="48993C10"/>
    <w:rsid w:val="48AB2F92"/>
    <w:rsid w:val="48AE151D"/>
    <w:rsid w:val="48DB1B35"/>
    <w:rsid w:val="48E7171C"/>
    <w:rsid w:val="49141465"/>
    <w:rsid w:val="491F45D5"/>
    <w:rsid w:val="492D05E3"/>
    <w:rsid w:val="495042D1"/>
    <w:rsid w:val="495C67D2"/>
    <w:rsid w:val="49902920"/>
    <w:rsid w:val="49B35903"/>
    <w:rsid w:val="49B94EAB"/>
    <w:rsid w:val="49C764B4"/>
    <w:rsid w:val="49D40979"/>
    <w:rsid w:val="49DF3059"/>
    <w:rsid w:val="49EF5898"/>
    <w:rsid w:val="49F375E7"/>
    <w:rsid w:val="4A031344"/>
    <w:rsid w:val="4A0768CC"/>
    <w:rsid w:val="4A077E04"/>
    <w:rsid w:val="4A0E0B98"/>
    <w:rsid w:val="4A653ABB"/>
    <w:rsid w:val="4A6770EF"/>
    <w:rsid w:val="4A991569"/>
    <w:rsid w:val="4AB2572B"/>
    <w:rsid w:val="4AC05487"/>
    <w:rsid w:val="4AD14F9E"/>
    <w:rsid w:val="4AF06ABD"/>
    <w:rsid w:val="4B1732F9"/>
    <w:rsid w:val="4B322F1E"/>
    <w:rsid w:val="4B3A0D95"/>
    <w:rsid w:val="4B8C4F9D"/>
    <w:rsid w:val="4BB46D99"/>
    <w:rsid w:val="4BB74194"/>
    <w:rsid w:val="4BB93290"/>
    <w:rsid w:val="4BBA54C8"/>
    <w:rsid w:val="4BBE3774"/>
    <w:rsid w:val="4BC0573E"/>
    <w:rsid w:val="4BEB02E1"/>
    <w:rsid w:val="4BED5274"/>
    <w:rsid w:val="4C2D2E09"/>
    <w:rsid w:val="4C6B4F7E"/>
    <w:rsid w:val="4C7164AE"/>
    <w:rsid w:val="4C8A7AFA"/>
    <w:rsid w:val="4C9D40D5"/>
    <w:rsid w:val="4CA17400"/>
    <w:rsid w:val="4CEE62DB"/>
    <w:rsid w:val="4D140E3B"/>
    <w:rsid w:val="4D185106"/>
    <w:rsid w:val="4D225F85"/>
    <w:rsid w:val="4D333CEE"/>
    <w:rsid w:val="4D392D1E"/>
    <w:rsid w:val="4D47449E"/>
    <w:rsid w:val="4D5157B8"/>
    <w:rsid w:val="4D5F2D35"/>
    <w:rsid w:val="4D6E6472"/>
    <w:rsid w:val="4D834C75"/>
    <w:rsid w:val="4D841ECC"/>
    <w:rsid w:val="4D8F4889"/>
    <w:rsid w:val="4D9A39E9"/>
    <w:rsid w:val="4DAE3181"/>
    <w:rsid w:val="4DBF1C49"/>
    <w:rsid w:val="4DC77844"/>
    <w:rsid w:val="4DD91D5A"/>
    <w:rsid w:val="4DFA0334"/>
    <w:rsid w:val="4E191136"/>
    <w:rsid w:val="4E3A454E"/>
    <w:rsid w:val="4E3E294A"/>
    <w:rsid w:val="4EAF78E7"/>
    <w:rsid w:val="4EC3162F"/>
    <w:rsid w:val="4ECF5C98"/>
    <w:rsid w:val="4ED76527"/>
    <w:rsid w:val="4EDB288F"/>
    <w:rsid w:val="4EF15C0F"/>
    <w:rsid w:val="4EFB6A8D"/>
    <w:rsid w:val="4F2A522D"/>
    <w:rsid w:val="4F3C295E"/>
    <w:rsid w:val="4F4A3571"/>
    <w:rsid w:val="4F572D07"/>
    <w:rsid w:val="4F8E345D"/>
    <w:rsid w:val="4F910CFD"/>
    <w:rsid w:val="4F9547EC"/>
    <w:rsid w:val="4FA90297"/>
    <w:rsid w:val="4FC35BAA"/>
    <w:rsid w:val="4FCB4224"/>
    <w:rsid w:val="4FCD69CA"/>
    <w:rsid w:val="50056AF6"/>
    <w:rsid w:val="50377F99"/>
    <w:rsid w:val="506B0503"/>
    <w:rsid w:val="50875844"/>
    <w:rsid w:val="50A15412"/>
    <w:rsid w:val="50A20980"/>
    <w:rsid w:val="5109198B"/>
    <w:rsid w:val="51145BE4"/>
    <w:rsid w:val="51244C19"/>
    <w:rsid w:val="51512AC4"/>
    <w:rsid w:val="516D3FB2"/>
    <w:rsid w:val="51D04201"/>
    <w:rsid w:val="51D610EC"/>
    <w:rsid w:val="520027D7"/>
    <w:rsid w:val="5208323E"/>
    <w:rsid w:val="52354064"/>
    <w:rsid w:val="525B5361"/>
    <w:rsid w:val="526D37FE"/>
    <w:rsid w:val="527821A3"/>
    <w:rsid w:val="52846D9A"/>
    <w:rsid w:val="529C0587"/>
    <w:rsid w:val="52AC1890"/>
    <w:rsid w:val="52B256B5"/>
    <w:rsid w:val="52D7546B"/>
    <w:rsid w:val="52F20745"/>
    <w:rsid w:val="52FE58B2"/>
    <w:rsid w:val="53195734"/>
    <w:rsid w:val="532F1991"/>
    <w:rsid w:val="53863DF3"/>
    <w:rsid w:val="53885BA0"/>
    <w:rsid w:val="538E6122"/>
    <w:rsid w:val="53906E7C"/>
    <w:rsid w:val="539354E6"/>
    <w:rsid w:val="53953C5E"/>
    <w:rsid w:val="539A6875"/>
    <w:rsid w:val="53B8319F"/>
    <w:rsid w:val="53DF1822"/>
    <w:rsid w:val="53E45596"/>
    <w:rsid w:val="53E51E4A"/>
    <w:rsid w:val="53F87A3F"/>
    <w:rsid w:val="53F97408"/>
    <w:rsid w:val="54240834"/>
    <w:rsid w:val="5426281D"/>
    <w:rsid w:val="54346643"/>
    <w:rsid w:val="547C55A8"/>
    <w:rsid w:val="54964C9A"/>
    <w:rsid w:val="549668C2"/>
    <w:rsid w:val="54B53499"/>
    <w:rsid w:val="54BE3268"/>
    <w:rsid w:val="54C1072E"/>
    <w:rsid w:val="554967A4"/>
    <w:rsid w:val="55607283"/>
    <w:rsid w:val="55B22637"/>
    <w:rsid w:val="55CB2E1D"/>
    <w:rsid w:val="55E424FE"/>
    <w:rsid w:val="560E70A6"/>
    <w:rsid w:val="56755377"/>
    <w:rsid w:val="569727B1"/>
    <w:rsid w:val="56C1680E"/>
    <w:rsid w:val="570404A9"/>
    <w:rsid w:val="57530B53"/>
    <w:rsid w:val="5798298C"/>
    <w:rsid w:val="57A23F4A"/>
    <w:rsid w:val="57A777B2"/>
    <w:rsid w:val="57C54CFC"/>
    <w:rsid w:val="57CA1801"/>
    <w:rsid w:val="57E049E2"/>
    <w:rsid w:val="57F17E59"/>
    <w:rsid w:val="57F95DFB"/>
    <w:rsid w:val="581666E6"/>
    <w:rsid w:val="581B48EB"/>
    <w:rsid w:val="582B2191"/>
    <w:rsid w:val="586B6A32"/>
    <w:rsid w:val="58733E8D"/>
    <w:rsid w:val="588C007D"/>
    <w:rsid w:val="589E45F3"/>
    <w:rsid w:val="58A44CAC"/>
    <w:rsid w:val="58B01BE2"/>
    <w:rsid w:val="58B47E2E"/>
    <w:rsid w:val="5906675A"/>
    <w:rsid w:val="5942469B"/>
    <w:rsid w:val="59590F80"/>
    <w:rsid w:val="59AE0A0A"/>
    <w:rsid w:val="59B91A1F"/>
    <w:rsid w:val="59BF16A6"/>
    <w:rsid w:val="59E8019B"/>
    <w:rsid w:val="5A1921A2"/>
    <w:rsid w:val="5A1B4488"/>
    <w:rsid w:val="5A2F7E17"/>
    <w:rsid w:val="5A555BBE"/>
    <w:rsid w:val="5A605638"/>
    <w:rsid w:val="5A9063A1"/>
    <w:rsid w:val="5A9A6067"/>
    <w:rsid w:val="5AA224B3"/>
    <w:rsid w:val="5AB8710E"/>
    <w:rsid w:val="5B095738"/>
    <w:rsid w:val="5B2F3391"/>
    <w:rsid w:val="5B417062"/>
    <w:rsid w:val="5B6A2953"/>
    <w:rsid w:val="5BF77A6D"/>
    <w:rsid w:val="5C6C0AD6"/>
    <w:rsid w:val="5C757E7F"/>
    <w:rsid w:val="5C891D80"/>
    <w:rsid w:val="5CCC7C7F"/>
    <w:rsid w:val="5CCE3A33"/>
    <w:rsid w:val="5CCE57E1"/>
    <w:rsid w:val="5CE366FE"/>
    <w:rsid w:val="5CEE7C31"/>
    <w:rsid w:val="5D3D48A2"/>
    <w:rsid w:val="5D704AEA"/>
    <w:rsid w:val="5E1176F8"/>
    <w:rsid w:val="5E4D3673"/>
    <w:rsid w:val="5E5C0FE8"/>
    <w:rsid w:val="5E5E4943"/>
    <w:rsid w:val="5EEE213C"/>
    <w:rsid w:val="5EFD23AE"/>
    <w:rsid w:val="5F056E05"/>
    <w:rsid w:val="5F0C439F"/>
    <w:rsid w:val="5F2D127A"/>
    <w:rsid w:val="5F464FD5"/>
    <w:rsid w:val="5F5134B8"/>
    <w:rsid w:val="5F5D1E40"/>
    <w:rsid w:val="5F6B3438"/>
    <w:rsid w:val="5F96285B"/>
    <w:rsid w:val="5FAB6DDC"/>
    <w:rsid w:val="5FAD59FB"/>
    <w:rsid w:val="5FDC6467"/>
    <w:rsid w:val="5FE01A50"/>
    <w:rsid w:val="5FE47DA9"/>
    <w:rsid w:val="6026445F"/>
    <w:rsid w:val="603315F8"/>
    <w:rsid w:val="60345FD4"/>
    <w:rsid w:val="603541C5"/>
    <w:rsid w:val="60365B77"/>
    <w:rsid w:val="60735E32"/>
    <w:rsid w:val="6088599D"/>
    <w:rsid w:val="609F0C73"/>
    <w:rsid w:val="60B13450"/>
    <w:rsid w:val="60BB607C"/>
    <w:rsid w:val="60BD1DF5"/>
    <w:rsid w:val="60EE318B"/>
    <w:rsid w:val="61045C75"/>
    <w:rsid w:val="61064B70"/>
    <w:rsid w:val="613939B8"/>
    <w:rsid w:val="617F52FC"/>
    <w:rsid w:val="61907509"/>
    <w:rsid w:val="61CF4783"/>
    <w:rsid w:val="61F23D20"/>
    <w:rsid w:val="621E2D67"/>
    <w:rsid w:val="621E3D0F"/>
    <w:rsid w:val="623600B0"/>
    <w:rsid w:val="624F1172"/>
    <w:rsid w:val="625D388F"/>
    <w:rsid w:val="6271733B"/>
    <w:rsid w:val="627A7ECE"/>
    <w:rsid w:val="62C92CD3"/>
    <w:rsid w:val="62EE2739"/>
    <w:rsid w:val="63221729"/>
    <w:rsid w:val="637704AD"/>
    <w:rsid w:val="63797316"/>
    <w:rsid w:val="638B442C"/>
    <w:rsid w:val="63A46CCD"/>
    <w:rsid w:val="64034FEC"/>
    <w:rsid w:val="6449399F"/>
    <w:rsid w:val="645C36D2"/>
    <w:rsid w:val="646D768E"/>
    <w:rsid w:val="64A40D0D"/>
    <w:rsid w:val="64AD03D2"/>
    <w:rsid w:val="64B22D78"/>
    <w:rsid w:val="64BF3499"/>
    <w:rsid w:val="64DB4F3F"/>
    <w:rsid w:val="64E060B2"/>
    <w:rsid w:val="65073BFF"/>
    <w:rsid w:val="653603C7"/>
    <w:rsid w:val="65441B86"/>
    <w:rsid w:val="657131AE"/>
    <w:rsid w:val="6578278E"/>
    <w:rsid w:val="659B022A"/>
    <w:rsid w:val="65F10662"/>
    <w:rsid w:val="661428A8"/>
    <w:rsid w:val="6660394E"/>
    <w:rsid w:val="66737235"/>
    <w:rsid w:val="668550D4"/>
    <w:rsid w:val="66F44096"/>
    <w:rsid w:val="670544F5"/>
    <w:rsid w:val="67304DE8"/>
    <w:rsid w:val="67334BBF"/>
    <w:rsid w:val="67371DF9"/>
    <w:rsid w:val="67520ADE"/>
    <w:rsid w:val="677E0AA5"/>
    <w:rsid w:val="67841D45"/>
    <w:rsid w:val="67970867"/>
    <w:rsid w:val="67982C74"/>
    <w:rsid w:val="67A20F86"/>
    <w:rsid w:val="67A21D44"/>
    <w:rsid w:val="67BF6452"/>
    <w:rsid w:val="67D0065F"/>
    <w:rsid w:val="67D23B83"/>
    <w:rsid w:val="67D5462E"/>
    <w:rsid w:val="67F17022"/>
    <w:rsid w:val="68087345"/>
    <w:rsid w:val="681C1BE4"/>
    <w:rsid w:val="68352BB8"/>
    <w:rsid w:val="683D02B7"/>
    <w:rsid w:val="68AA5354"/>
    <w:rsid w:val="68BC4798"/>
    <w:rsid w:val="68CD1565"/>
    <w:rsid w:val="68E02B24"/>
    <w:rsid w:val="68E8233E"/>
    <w:rsid w:val="691D6A7D"/>
    <w:rsid w:val="692D1AE1"/>
    <w:rsid w:val="69935559"/>
    <w:rsid w:val="69A818B8"/>
    <w:rsid w:val="69B0699A"/>
    <w:rsid w:val="69BE6882"/>
    <w:rsid w:val="69DD7DAF"/>
    <w:rsid w:val="6A2829D5"/>
    <w:rsid w:val="6A381C6E"/>
    <w:rsid w:val="6A5D01A4"/>
    <w:rsid w:val="6A717D4B"/>
    <w:rsid w:val="6A832F1E"/>
    <w:rsid w:val="6A890181"/>
    <w:rsid w:val="6AC16985"/>
    <w:rsid w:val="6AC16F10"/>
    <w:rsid w:val="6AD6758F"/>
    <w:rsid w:val="6AEF34F2"/>
    <w:rsid w:val="6B256F14"/>
    <w:rsid w:val="6B4C44A1"/>
    <w:rsid w:val="6B621F16"/>
    <w:rsid w:val="6B6877F3"/>
    <w:rsid w:val="6B830763"/>
    <w:rsid w:val="6B8D40C6"/>
    <w:rsid w:val="6BC4672D"/>
    <w:rsid w:val="6C022DB1"/>
    <w:rsid w:val="6C2041B2"/>
    <w:rsid w:val="6C230EFC"/>
    <w:rsid w:val="6C2C42D2"/>
    <w:rsid w:val="6C495C4F"/>
    <w:rsid w:val="6C4D0229"/>
    <w:rsid w:val="6C5337CF"/>
    <w:rsid w:val="6C533862"/>
    <w:rsid w:val="6C755C79"/>
    <w:rsid w:val="6C847393"/>
    <w:rsid w:val="6CD342EE"/>
    <w:rsid w:val="6D3C0545"/>
    <w:rsid w:val="6D3F3B91"/>
    <w:rsid w:val="6D5F34DC"/>
    <w:rsid w:val="6D65184A"/>
    <w:rsid w:val="6DAC71C5"/>
    <w:rsid w:val="6DB14E8C"/>
    <w:rsid w:val="6DB557CE"/>
    <w:rsid w:val="6DDF784E"/>
    <w:rsid w:val="6E380D0C"/>
    <w:rsid w:val="6E473FE9"/>
    <w:rsid w:val="6E55366C"/>
    <w:rsid w:val="6E5D0D27"/>
    <w:rsid w:val="6E5F6ED9"/>
    <w:rsid w:val="6E690143"/>
    <w:rsid w:val="6E935685"/>
    <w:rsid w:val="6ECD27E4"/>
    <w:rsid w:val="6EE0708B"/>
    <w:rsid w:val="6EED2216"/>
    <w:rsid w:val="6F226A87"/>
    <w:rsid w:val="6F4E106A"/>
    <w:rsid w:val="6F507981"/>
    <w:rsid w:val="6FE65AD4"/>
    <w:rsid w:val="702C578C"/>
    <w:rsid w:val="704E2A69"/>
    <w:rsid w:val="705F07D2"/>
    <w:rsid w:val="70910BA8"/>
    <w:rsid w:val="70C25496"/>
    <w:rsid w:val="70DA42FD"/>
    <w:rsid w:val="70F14CD2"/>
    <w:rsid w:val="710106F9"/>
    <w:rsid w:val="7104581E"/>
    <w:rsid w:val="71080E6A"/>
    <w:rsid w:val="714B0D57"/>
    <w:rsid w:val="71502811"/>
    <w:rsid w:val="716A5681"/>
    <w:rsid w:val="71827990"/>
    <w:rsid w:val="71B37149"/>
    <w:rsid w:val="71C70D25"/>
    <w:rsid w:val="71ED1E0E"/>
    <w:rsid w:val="71F122CA"/>
    <w:rsid w:val="71FD64F5"/>
    <w:rsid w:val="725400DF"/>
    <w:rsid w:val="727918F3"/>
    <w:rsid w:val="72F06962"/>
    <w:rsid w:val="72FE2A45"/>
    <w:rsid w:val="73037114"/>
    <w:rsid w:val="7306363B"/>
    <w:rsid w:val="73076EFF"/>
    <w:rsid w:val="731C6E4F"/>
    <w:rsid w:val="73215A18"/>
    <w:rsid w:val="738A6454"/>
    <w:rsid w:val="74293E73"/>
    <w:rsid w:val="74300237"/>
    <w:rsid w:val="74381A66"/>
    <w:rsid w:val="743B1556"/>
    <w:rsid w:val="7443665D"/>
    <w:rsid w:val="748702F8"/>
    <w:rsid w:val="749E3893"/>
    <w:rsid w:val="74C94DB4"/>
    <w:rsid w:val="75361E1D"/>
    <w:rsid w:val="753D051B"/>
    <w:rsid w:val="75677502"/>
    <w:rsid w:val="757D5F6B"/>
    <w:rsid w:val="75956D93"/>
    <w:rsid w:val="75B72E5F"/>
    <w:rsid w:val="75C64049"/>
    <w:rsid w:val="75E31EA6"/>
    <w:rsid w:val="760C31AA"/>
    <w:rsid w:val="764A3D25"/>
    <w:rsid w:val="764D37C3"/>
    <w:rsid w:val="76575288"/>
    <w:rsid w:val="765963E4"/>
    <w:rsid w:val="76636FC7"/>
    <w:rsid w:val="76AF1D88"/>
    <w:rsid w:val="76B33626"/>
    <w:rsid w:val="76B850E0"/>
    <w:rsid w:val="76C3034B"/>
    <w:rsid w:val="76C87A23"/>
    <w:rsid w:val="76D80321"/>
    <w:rsid w:val="76E63EE3"/>
    <w:rsid w:val="76EF4063"/>
    <w:rsid w:val="77075720"/>
    <w:rsid w:val="770B2505"/>
    <w:rsid w:val="772A181A"/>
    <w:rsid w:val="772A401B"/>
    <w:rsid w:val="773504DF"/>
    <w:rsid w:val="775F555C"/>
    <w:rsid w:val="77895D73"/>
    <w:rsid w:val="778D2C25"/>
    <w:rsid w:val="778E4093"/>
    <w:rsid w:val="77AD62C7"/>
    <w:rsid w:val="77C74EAF"/>
    <w:rsid w:val="781A1483"/>
    <w:rsid w:val="782F59E4"/>
    <w:rsid w:val="783B1B25"/>
    <w:rsid w:val="78686692"/>
    <w:rsid w:val="78745037"/>
    <w:rsid w:val="78767001"/>
    <w:rsid w:val="787D6203"/>
    <w:rsid w:val="78940298"/>
    <w:rsid w:val="78AA2807"/>
    <w:rsid w:val="78B86983"/>
    <w:rsid w:val="78E24696"/>
    <w:rsid w:val="79056ED3"/>
    <w:rsid w:val="79091C23"/>
    <w:rsid w:val="792E60FD"/>
    <w:rsid w:val="794032F2"/>
    <w:rsid w:val="79574FAC"/>
    <w:rsid w:val="79644654"/>
    <w:rsid w:val="79694470"/>
    <w:rsid w:val="79935991"/>
    <w:rsid w:val="79B21D36"/>
    <w:rsid w:val="79DC259C"/>
    <w:rsid w:val="7A5C6715"/>
    <w:rsid w:val="7A5F59C6"/>
    <w:rsid w:val="7A6115EB"/>
    <w:rsid w:val="7A8F4705"/>
    <w:rsid w:val="7A911ED0"/>
    <w:rsid w:val="7A9A7601"/>
    <w:rsid w:val="7A9F25EC"/>
    <w:rsid w:val="7AA13C19"/>
    <w:rsid w:val="7AF579AC"/>
    <w:rsid w:val="7B073F6F"/>
    <w:rsid w:val="7B093461"/>
    <w:rsid w:val="7B1103B0"/>
    <w:rsid w:val="7B5662FC"/>
    <w:rsid w:val="7B6D14C6"/>
    <w:rsid w:val="7B7245E9"/>
    <w:rsid w:val="7B845591"/>
    <w:rsid w:val="7B86663B"/>
    <w:rsid w:val="7B8E01BE"/>
    <w:rsid w:val="7B915F00"/>
    <w:rsid w:val="7B991AF5"/>
    <w:rsid w:val="7BB70A0F"/>
    <w:rsid w:val="7BFC781D"/>
    <w:rsid w:val="7C1521E0"/>
    <w:rsid w:val="7C29136C"/>
    <w:rsid w:val="7C6929D9"/>
    <w:rsid w:val="7C72188D"/>
    <w:rsid w:val="7C7F3FAA"/>
    <w:rsid w:val="7C943EFA"/>
    <w:rsid w:val="7CA651F0"/>
    <w:rsid w:val="7D090966"/>
    <w:rsid w:val="7D0E5A5A"/>
    <w:rsid w:val="7D3B25C7"/>
    <w:rsid w:val="7D44147C"/>
    <w:rsid w:val="7D4516AB"/>
    <w:rsid w:val="7D6E0706"/>
    <w:rsid w:val="7D837ADF"/>
    <w:rsid w:val="7DE20C95"/>
    <w:rsid w:val="7DE32582"/>
    <w:rsid w:val="7DE742BC"/>
    <w:rsid w:val="7E0B3D29"/>
    <w:rsid w:val="7E2748F9"/>
    <w:rsid w:val="7E592A6D"/>
    <w:rsid w:val="7E6F077A"/>
    <w:rsid w:val="7E786F03"/>
    <w:rsid w:val="7E991E2F"/>
    <w:rsid w:val="7EA61CC2"/>
    <w:rsid w:val="7ED479DE"/>
    <w:rsid w:val="7F095DB4"/>
    <w:rsid w:val="7F190778"/>
    <w:rsid w:val="7F211349"/>
    <w:rsid w:val="7F335352"/>
    <w:rsid w:val="7F451F8F"/>
    <w:rsid w:val="7F6632C2"/>
    <w:rsid w:val="7F710405"/>
    <w:rsid w:val="7F833DB1"/>
    <w:rsid w:val="7F995D60"/>
    <w:rsid w:val="7FAB3A34"/>
    <w:rsid w:val="7FB34697"/>
    <w:rsid w:val="7FBA51FF"/>
    <w:rsid w:val="7FE945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iPriority="0" w:semiHidden="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qFormat="1" w:unhideWhenUsed="0" w:uiPriority="99"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Calibri" w:eastAsia="宋体" w:cs="Times New Roman"/>
      <w:snapToGrid w:val="0"/>
      <w:kern w:val="21"/>
      <w:sz w:val="21"/>
      <w:szCs w:val="24"/>
      <w:lang w:val="en-US" w:eastAsia="zh-CN" w:bidi="ar-SA"/>
    </w:rPr>
  </w:style>
  <w:style w:type="paragraph" w:styleId="2">
    <w:name w:val="heading 1"/>
    <w:basedOn w:val="1"/>
    <w:next w:val="1"/>
    <w:link w:val="80"/>
    <w:qFormat/>
    <w:uiPriority w:val="0"/>
    <w:pPr>
      <w:keepNext/>
      <w:keepLines/>
      <w:spacing w:before="120" w:after="120" w:line="360" w:lineRule="auto"/>
      <w:jc w:val="center"/>
      <w:outlineLvl w:val="0"/>
    </w:pPr>
    <w:rPr>
      <w:rFonts w:ascii="Calibri"/>
      <w:b/>
      <w:bCs/>
      <w:snapToGrid/>
      <w:kern w:val="44"/>
      <w:sz w:val="30"/>
      <w:szCs w:val="44"/>
    </w:rPr>
  </w:style>
  <w:style w:type="paragraph" w:styleId="3">
    <w:name w:val="heading 2"/>
    <w:basedOn w:val="1"/>
    <w:next w:val="1"/>
    <w:link w:val="82"/>
    <w:qFormat/>
    <w:uiPriority w:val="0"/>
    <w:pPr>
      <w:keepNext/>
      <w:keepLines/>
      <w:spacing w:before="260" w:after="260" w:line="416" w:lineRule="auto"/>
      <w:outlineLvl w:val="1"/>
    </w:pPr>
    <w:rPr>
      <w:rFonts w:hint="eastAsia" w:ascii="黑体" w:hAnsi="宋体" w:eastAsia="黑体"/>
      <w:bCs/>
      <w:snapToGrid/>
      <w:kern w:val="2"/>
      <w:sz w:val="32"/>
      <w:szCs w:val="36"/>
      <w:lang w:val="zh-CN"/>
    </w:rPr>
  </w:style>
  <w:style w:type="paragraph" w:styleId="4">
    <w:name w:val="heading 3"/>
    <w:basedOn w:val="1"/>
    <w:next w:val="1"/>
    <w:link w:val="83"/>
    <w:qFormat/>
    <w:uiPriority w:val="0"/>
    <w:pPr>
      <w:keepNext/>
      <w:keepLines/>
      <w:spacing w:before="60" w:after="60" w:line="400" w:lineRule="exact"/>
      <w:ind w:firstLine="510"/>
      <w:outlineLvl w:val="2"/>
    </w:pPr>
    <w:rPr>
      <w:rFonts w:hint="eastAsia" w:ascii="黑体" w:hAnsi="宋体" w:eastAsia="黑体"/>
      <w:bCs/>
      <w:snapToGrid/>
      <w:kern w:val="2"/>
      <w:sz w:val="30"/>
      <w:szCs w:val="20"/>
      <w:lang w:val="zh-CN"/>
    </w:rPr>
  </w:style>
  <w:style w:type="paragraph" w:styleId="5">
    <w:name w:val="heading 4"/>
    <w:basedOn w:val="1"/>
    <w:next w:val="1"/>
    <w:link w:val="67"/>
    <w:qFormat/>
    <w:uiPriority w:val="0"/>
    <w:pPr>
      <w:keepNext/>
      <w:keepLines/>
      <w:spacing w:before="280" w:after="290" w:line="376" w:lineRule="auto"/>
      <w:outlineLvl w:val="3"/>
    </w:pPr>
    <w:rPr>
      <w:rFonts w:ascii="Cambria" w:hAnsi="Cambria"/>
      <w:b/>
      <w:bCs/>
      <w:sz w:val="28"/>
      <w:szCs w:val="28"/>
      <w:lang w:val="zh-CN"/>
    </w:rPr>
  </w:style>
  <w:style w:type="paragraph" w:styleId="6">
    <w:name w:val="heading 5"/>
    <w:basedOn w:val="1"/>
    <w:next w:val="1"/>
    <w:qFormat/>
    <w:uiPriority w:val="0"/>
    <w:pPr>
      <w:keepNext/>
      <w:keepLines/>
      <w:numPr>
        <w:ilvl w:val="4"/>
        <w:numId w:val="1"/>
      </w:numPr>
      <w:snapToGrid w:val="0"/>
      <w:spacing w:line="360" w:lineRule="auto"/>
      <w:jc w:val="left"/>
      <w:outlineLvl w:val="4"/>
    </w:pPr>
    <w:rPr>
      <w:rFonts w:ascii="Arial" w:hAnsi="Arial" w:eastAsia="黑体"/>
      <w:b/>
      <w:kern w:val="2"/>
      <w:sz w:val="24"/>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Theme="minorHAnsi" w:hAnsiTheme="minorHAnsi" w:eastAsiaTheme="minorEastAsia" w:cstheme="minorBidi"/>
      <w:snapToGrid/>
      <w:kern w:val="2"/>
      <w:szCs w:val="22"/>
    </w:rPr>
  </w:style>
  <w:style w:type="paragraph" w:styleId="8">
    <w:name w:val="Normal Indent"/>
    <w:basedOn w:val="1"/>
    <w:link w:val="81"/>
    <w:qFormat/>
    <w:uiPriority w:val="0"/>
    <w:pPr>
      <w:ind w:firstLine="420"/>
    </w:pPr>
    <w:rPr>
      <w:rFonts w:ascii="Calibri"/>
      <w:snapToGrid/>
      <w:kern w:val="2"/>
      <w:szCs w:val="20"/>
      <w:lang w:val="zh-CN"/>
    </w:rPr>
  </w:style>
  <w:style w:type="paragraph" w:styleId="9">
    <w:name w:val="caption"/>
    <w:basedOn w:val="1"/>
    <w:next w:val="1"/>
    <w:qFormat/>
    <w:uiPriority w:val="0"/>
    <w:rPr>
      <w:rFonts w:ascii="Cambria" w:hAnsi="Cambria" w:eastAsia="黑体"/>
      <w:snapToGrid/>
      <w:kern w:val="2"/>
      <w:sz w:val="20"/>
      <w:szCs w:val="20"/>
    </w:rPr>
  </w:style>
  <w:style w:type="paragraph" w:styleId="10">
    <w:name w:val="Document Map"/>
    <w:basedOn w:val="1"/>
    <w:link w:val="75"/>
    <w:semiHidden/>
    <w:qFormat/>
    <w:uiPriority w:val="99"/>
    <w:pPr>
      <w:shd w:val="clear" w:color="auto" w:fill="000080"/>
    </w:pPr>
  </w:style>
  <w:style w:type="paragraph" w:styleId="11">
    <w:name w:val="toa heading"/>
    <w:basedOn w:val="1"/>
    <w:next w:val="1"/>
    <w:unhideWhenUsed/>
    <w:qFormat/>
    <w:uiPriority w:val="0"/>
    <w:pPr>
      <w:spacing w:before="120"/>
    </w:pPr>
    <w:rPr>
      <w:rFonts w:ascii="Arial" w:hAnsi="Arial" w:cs="Arial"/>
      <w:sz w:val="24"/>
    </w:rPr>
  </w:style>
  <w:style w:type="paragraph" w:styleId="12">
    <w:name w:val="annotation text"/>
    <w:basedOn w:val="1"/>
    <w:link w:val="79"/>
    <w:qFormat/>
    <w:uiPriority w:val="0"/>
    <w:pPr>
      <w:jc w:val="left"/>
    </w:pPr>
    <w:rPr>
      <w:rFonts w:ascii="Calibri"/>
      <w:snapToGrid/>
      <w:kern w:val="2"/>
      <w:szCs w:val="20"/>
      <w:lang w:val="zh-CN"/>
    </w:rPr>
  </w:style>
  <w:style w:type="paragraph" w:styleId="13">
    <w:name w:val="Body Text 3"/>
    <w:basedOn w:val="1"/>
    <w:qFormat/>
    <w:uiPriority w:val="0"/>
    <w:pPr>
      <w:spacing w:after="120"/>
    </w:pPr>
    <w:rPr>
      <w:rFonts w:ascii="Times New Roman"/>
      <w:snapToGrid/>
      <w:kern w:val="2"/>
      <w:sz w:val="16"/>
      <w:szCs w:val="16"/>
    </w:rPr>
  </w:style>
  <w:style w:type="paragraph" w:styleId="14">
    <w:name w:val="Body Text"/>
    <w:basedOn w:val="1"/>
    <w:next w:val="1"/>
    <w:qFormat/>
    <w:uiPriority w:val="0"/>
    <w:pPr>
      <w:spacing w:after="120"/>
    </w:pPr>
  </w:style>
  <w:style w:type="paragraph" w:styleId="15">
    <w:name w:val="Body Text Indent"/>
    <w:basedOn w:val="1"/>
    <w:next w:val="16"/>
    <w:link w:val="89"/>
    <w:qFormat/>
    <w:uiPriority w:val="0"/>
    <w:pPr>
      <w:spacing w:line="460" w:lineRule="exact"/>
      <w:ind w:firstLine="510"/>
    </w:pPr>
    <w:rPr>
      <w:lang w:val="zh-CN"/>
    </w:rPr>
  </w:style>
  <w:style w:type="paragraph" w:styleId="16">
    <w:name w:val="Body Text First Indent 2"/>
    <w:basedOn w:val="15"/>
    <w:qFormat/>
    <w:uiPriority w:val="0"/>
    <w:pPr>
      <w:ind w:firstLine="420" w:firstLineChars="200"/>
    </w:pPr>
    <w:rPr>
      <w:sz w:val="24"/>
      <w:szCs w:val="20"/>
    </w:rPr>
  </w:style>
  <w:style w:type="paragraph" w:styleId="17">
    <w:name w:val="toc 5"/>
    <w:basedOn w:val="1"/>
    <w:next w:val="1"/>
    <w:qFormat/>
    <w:uiPriority w:val="39"/>
    <w:pPr>
      <w:ind w:left="800" w:leftChars="800"/>
    </w:pPr>
  </w:style>
  <w:style w:type="paragraph" w:styleId="18">
    <w:name w:val="toc 3"/>
    <w:basedOn w:val="1"/>
    <w:next w:val="1"/>
    <w:qFormat/>
    <w:uiPriority w:val="39"/>
    <w:pPr>
      <w:ind w:left="840" w:leftChars="400"/>
    </w:pPr>
  </w:style>
  <w:style w:type="paragraph" w:styleId="19">
    <w:name w:val="Plain Text"/>
    <w:basedOn w:val="1"/>
    <w:next w:val="1"/>
    <w:link w:val="56"/>
    <w:qFormat/>
    <w:uiPriority w:val="99"/>
    <w:rPr>
      <w:snapToGrid/>
      <w:kern w:val="2"/>
      <w:szCs w:val="20"/>
    </w:rPr>
  </w:style>
  <w:style w:type="paragraph" w:styleId="20">
    <w:name w:val="toc 8"/>
    <w:basedOn w:val="1"/>
    <w:next w:val="1"/>
    <w:unhideWhenUsed/>
    <w:qFormat/>
    <w:uiPriority w:val="39"/>
    <w:pPr>
      <w:ind w:left="2940" w:leftChars="1400"/>
    </w:pPr>
    <w:rPr>
      <w:rFonts w:asciiTheme="minorHAnsi" w:hAnsiTheme="minorHAnsi" w:eastAsiaTheme="minorEastAsia" w:cstheme="minorBidi"/>
      <w:snapToGrid/>
      <w:kern w:val="2"/>
      <w:szCs w:val="22"/>
    </w:rPr>
  </w:style>
  <w:style w:type="paragraph" w:styleId="21">
    <w:name w:val="Date"/>
    <w:basedOn w:val="1"/>
    <w:next w:val="1"/>
    <w:qFormat/>
    <w:uiPriority w:val="0"/>
    <w:rPr>
      <w:rFonts w:ascii="Times New Roman"/>
      <w:snapToGrid/>
      <w:kern w:val="0"/>
      <w:sz w:val="28"/>
      <w:szCs w:val="20"/>
    </w:rPr>
  </w:style>
  <w:style w:type="paragraph" w:styleId="22">
    <w:name w:val="Body Text Indent 2"/>
    <w:basedOn w:val="1"/>
    <w:link w:val="74"/>
    <w:qFormat/>
    <w:uiPriority w:val="0"/>
    <w:pPr>
      <w:spacing w:line="500" w:lineRule="exact"/>
      <w:ind w:firstLine="510"/>
    </w:pPr>
    <w:rPr>
      <w:snapToGrid/>
      <w:kern w:val="2"/>
      <w:sz w:val="24"/>
      <w:szCs w:val="20"/>
      <w:lang w:val="zh-CN"/>
    </w:rPr>
  </w:style>
  <w:style w:type="paragraph" w:styleId="23">
    <w:name w:val="Balloon Text"/>
    <w:basedOn w:val="1"/>
    <w:link w:val="151"/>
    <w:semiHidden/>
    <w:qFormat/>
    <w:uiPriority w:val="99"/>
    <w:rPr>
      <w:sz w:val="18"/>
      <w:szCs w:val="18"/>
    </w:rPr>
  </w:style>
  <w:style w:type="paragraph" w:styleId="24">
    <w:name w:val="footer"/>
    <w:basedOn w:val="1"/>
    <w:link w:val="58"/>
    <w:qFormat/>
    <w:uiPriority w:val="99"/>
    <w:pPr>
      <w:tabs>
        <w:tab w:val="center" w:pos="4153"/>
        <w:tab w:val="right" w:pos="8306"/>
      </w:tabs>
      <w:snapToGrid w:val="0"/>
      <w:jc w:val="left"/>
    </w:pPr>
    <w:rPr>
      <w:sz w:val="18"/>
      <w:szCs w:val="18"/>
    </w:rPr>
  </w:style>
  <w:style w:type="paragraph" w:styleId="25">
    <w:name w:val="header"/>
    <w:basedOn w:val="1"/>
    <w:link w:val="55"/>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tabs>
        <w:tab w:val="right" w:leader="dot" w:pos="9060"/>
      </w:tabs>
      <w:spacing w:line="360" w:lineRule="auto"/>
    </w:pPr>
    <w:rPr>
      <w:rFonts w:hAnsi="宋体"/>
      <w:b/>
      <w:bCs/>
      <w:szCs w:val="21"/>
      <w:lang w:val="zh-CN"/>
    </w:rPr>
  </w:style>
  <w:style w:type="paragraph" w:styleId="27">
    <w:name w:val="toc 4"/>
    <w:basedOn w:val="1"/>
    <w:next w:val="1"/>
    <w:unhideWhenUsed/>
    <w:qFormat/>
    <w:uiPriority w:val="39"/>
    <w:pPr>
      <w:ind w:left="1260" w:leftChars="600"/>
    </w:pPr>
    <w:rPr>
      <w:rFonts w:asciiTheme="minorHAnsi" w:hAnsiTheme="minorHAnsi" w:eastAsiaTheme="minorEastAsia" w:cstheme="minorBidi"/>
      <w:snapToGrid/>
      <w:kern w:val="2"/>
      <w:szCs w:val="22"/>
    </w:rPr>
  </w:style>
  <w:style w:type="paragraph" w:styleId="28">
    <w:name w:val="toc 6"/>
    <w:basedOn w:val="1"/>
    <w:next w:val="1"/>
    <w:unhideWhenUsed/>
    <w:qFormat/>
    <w:uiPriority w:val="39"/>
    <w:pPr>
      <w:ind w:left="2100" w:leftChars="1000"/>
    </w:pPr>
    <w:rPr>
      <w:rFonts w:asciiTheme="minorHAnsi" w:hAnsiTheme="minorHAnsi" w:eastAsiaTheme="minorEastAsia" w:cstheme="minorBidi"/>
      <w:snapToGrid/>
      <w:kern w:val="2"/>
      <w:szCs w:val="22"/>
    </w:rPr>
  </w:style>
  <w:style w:type="paragraph" w:styleId="29">
    <w:name w:val="Body Text Indent 3"/>
    <w:basedOn w:val="1"/>
    <w:qFormat/>
    <w:uiPriority w:val="0"/>
    <w:pPr>
      <w:spacing w:line="500" w:lineRule="exact"/>
      <w:ind w:firstLine="840" w:firstLineChars="300"/>
    </w:pPr>
    <w:rPr>
      <w:rFonts w:hAnsi="宋体"/>
      <w:snapToGrid/>
      <w:color w:val="0000FF"/>
      <w:kern w:val="2"/>
      <w:sz w:val="28"/>
    </w:rPr>
  </w:style>
  <w:style w:type="paragraph" w:styleId="30">
    <w:name w:val="table of figures"/>
    <w:basedOn w:val="1"/>
    <w:next w:val="1"/>
    <w:qFormat/>
    <w:uiPriority w:val="0"/>
    <w:pPr>
      <w:ind w:left="840" w:hanging="420"/>
    </w:pPr>
    <w:rPr>
      <w:rFonts w:ascii="Times New Roman"/>
      <w:snapToGrid/>
      <w:kern w:val="2"/>
      <w:szCs w:val="20"/>
    </w:rPr>
  </w:style>
  <w:style w:type="paragraph" w:styleId="31">
    <w:name w:val="toc 2"/>
    <w:basedOn w:val="1"/>
    <w:next w:val="1"/>
    <w:qFormat/>
    <w:uiPriority w:val="39"/>
    <w:pPr>
      <w:ind w:left="420" w:leftChars="200"/>
    </w:pPr>
  </w:style>
  <w:style w:type="paragraph" w:styleId="32">
    <w:name w:val="toc 9"/>
    <w:basedOn w:val="1"/>
    <w:next w:val="1"/>
    <w:unhideWhenUsed/>
    <w:qFormat/>
    <w:uiPriority w:val="39"/>
    <w:pPr>
      <w:ind w:left="3360" w:leftChars="1600"/>
    </w:pPr>
    <w:rPr>
      <w:rFonts w:asciiTheme="minorHAnsi" w:hAnsiTheme="minorHAnsi" w:eastAsiaTheme="minorEastAsia" w:cstheme="minorBidi"/>
      <w:snapToGrid/>
      <w:kern w:val="2"/>
      <w:szCs w:val="22"/>
    </w:rPr>
  </w:style>
  <w:style w:type="paragraph" w:styleId="33">
    <w:name w:val="Body Text 2"/>
    <w:basedOn w:val="1"/>
    <w:link w:val="63"/>
    <w:qFormat/>
    <w:uiPriority w:val="0"/>
    <w:pPr>
      <w:spacing w:after="120" w:line="480" w:lineRule="auto"/>
    </w:pPr>
    <w:rPr>
      <w:lang w:val="zh-CN"/>
    </w:rPr>
  </w:style>
  <w:style w:type="paragraph" w:styleId="34">
    <w:name w:val="Normal (Web)"/>
    <w:basedOn w:val="1"/>
    <w:qFormat/>
    <w:uiPriority w:val="99"/>
    <w:pPr>
      <w:widowControl/>
      <w:spacing w:before="100" w:beforeAutospacing="1" w:after="100" w:afterAutospacing="1"/>
      <w:jc w:val="left"/>
    </w:pPr>
    <w:rPr>
      <w:rFonts w:hAnsi="宋体"/>
      <w:snapToGrid/>
      <w:kern w:val="0"/>
      <w:sz w:val="24"/>
    </w:rPr>
  </w:style>
  <w:style w:type="paragraph" w:styleId="35">
    <w:name w:val="annotation subject"/>
    <w:basedOn w:val="12"/>
    <w:next w:val="12"/>
    <w:semiHidden/>
    <w:qFormat/>
    <w:uiPriority w:val="0"/>
    <w:rPr>
      <w:rFonts w:ascii="宋体"/>
      <w:b/>
      <w:bCs/>
      <w:snapToGrid w:val="0"/>
      <w:kern w:val="21"/>
      <w:szCs w:val="24"/>
    </w:rPr>
  </w:style>
  <w:style w:type="paragraph" w:styleId="36">
    <w:name w:val="Body Text First Indent"/>
    <w:basedOn w:val="14"/>
    <w:qFormat/>
    <w:uiPriority w:val="0"/>
    <w:pPr>
      <w:ind w:firstLine="420" w:firstLineChars="100"/>
    </w:pPr>
    <w:rPr>
      <w:rFonts w:ascii="Calibri"/>
      <w:kern w:val="2"/>
    </w:rPr>
  </w:style>
  <w:style w:type="table" w:styleId="38">
    <w:name w:val="Table Grid"/>
    <w:basedOn w:val="3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22"/>
    <w:rPr>
      <w:b/>
      <w:bCs/>
    </w:rPr>
  </w:style>
  <w:style w:type="character" w:styleId="41">
    <w:name w:val="page number"/>
    <w:basedOn w:val="39"/>
    <w:qFormat/>
    <w:uiPriority w:val="0"/>
  </w:style>
  <w:style w:type="character" w:styleId="42">
    <w:name w:val="FollowedHyperlink"/>
    <w:basedOn w:val="39"/>
    <w:semiHidden/>
    <w:unhideWhenUsed/>
    <w:qFormat/>
    <w:uiPriority w:val="99"/>
    <w:rPr>
      <w:color w:val="337AB7"/>
      <w:u w:val="single"/>
    </w:rPr>
  </w:style>
  <w:style w:type="character" w:styleId="43">
    <w:name w:val="HTML Definition"/>
    <w:basedOn w:val="39"/>
    <w:semiHidden/>
    <w:unhideWhenUsed/>
    <w:qFormat/>
    <w:uiPriority w:val="0"/>
    <w:rPr>
      <w:i/>
      <w:iCs/>
    </w:rPr>
  </w:style>
  <w:style w:type="character" w:styleId="44">
    <w:name w:val="Hyperlink"/>
    <w:qFormat/>
    <w:uiPriority w:val="99"/>
    <w:rPr>
      <w:rFonts w:ascii="微软雅黑" w:hAnsi="微软雅黑" w:eastAsia="微软雅黑" w:cs="微软雅黑"/>
      <w:color w:val="02396F"/>
      <w:u w:val="single"/>
    </w:rPr>
  </w:style>
  <w:style w:type="character" w:styleId="45">
    <w:name w:val="HTML Code"/>
    <w:basedOn w:val="39"/>
    <w:semiHidden/>
    <w:unhideWhenUsed/>
    <w:qFormat/>
    <w:uiPriority w:val="0"/>
    <w:rPr>
      <w:rFonts w:ascii="Consolas" w:hAnsi="Consolas" w:eastAsia="Consolas" w:cs="Consolas"/>
      <w:color w:val="C7254E"/>
      <w:sz w:val="21"/>
      <w:szCs w:val="21"/>
      <w:shd w:val="clear" w:color="auto" w:fill="F9F2F4"/>
    </w:rPr>
  </w:style>
  <w:style w:type="character" w:styleId="46">
    <w:name w:val="annotation reference"/>
    <w:qFormat/>
    <w:uiPriority w:val="0"/>
    <w:rPr>
      <w:sz w:val="21"/>
      <w:szCs w:val="21"/>
    </w:rPr>
  </w:style>
  <w:style w:type="character" w:styleId="47">
    <w:name w:val="HTML Keyboard"/>
    <w:basedOn w:val="39"/>
    <w:semiHidden/>
    <w:unhideWhenUsed/>
    <w:qFormat/>
    <w:uiPriority w:val="0"/>
    <w:rPr>
      <w:rFonts w:hint="default" w:ascii="Consolas" w:hAnsi="Consolas" w:eastAsia="Consolas" w:cs="Consolas"/>
      <w:color w:val="FFFFFF"/>
      <w:sz w:val="21"/>
      <w:szCs w:val="21"/>
      <w:shd w:val="clear" w:color="auto" w:fill="333333"/>
    </w:rPr>
  </w:style>
  <w:style w:type="character" w:styleId="48">
    <w:name w:val="HTML Sample"/>
    <w:basedOn w:val="39"/>
    <w:semiHidden/>
    <w:unhideWhenUsed/>
    <w:qFormat/>
    <w:uiPriority w:val="0"/>
    <w:rPr>
      <w:rFonts w:hint="default" w:ascii="Consolas" w:hAnsi="Consolas" w:eastAsia="Consolas" w:cs="Consolas"/>
      <w:sz w:val="21"/>
      <w:szCs w:val="21"/>
    </w:rPr>
  </w:style>
  <w:style w:type="paragraph" w:customStyle="1" w:styleId="49">
    <w:name w:val="表格"/>
    <w:basedOn w:val="1"/>
    <w:qFormat/>
    <w:uiPriority w:val="0"/>
    <w:pPr>
      <w:tabs>
        <w:tab w:val="left" w:pos="1200"/>
      </w:tabs>
      <w:spacing w:line="500" w:lineRule="exact"/>
      <w:jc w:val="center"/>
    </w:pPr>
    <w:rPr>
      <w:snapToGrid/>
      <w:kern w:val="2"/>
      <w:sz w:val="24"/>
      <w:szCs w:val="18"/>
    </w:rPr>
  </w:style>
  <w:style w:type="paragraph" w:customStyle="1" w:styleId="50">
    <w:name w:val="_Style 2"/>
    <w:basedOn w:val="1"/>
    <w:next w:val="1"/>
    <w:qFormat/>
    <w:uiPriority w:val="0"/>
    <w:pPr>
      <w:pBdr>
        <w:top w:val="single" w:color="auto" w:sz="6" w:space="1"/>
      </w:pBdr>
      <w:jc w:val="center"/>
    </w:pPr>
    <w:rPr>
      <w:rFonts w:ascii="Arial"/>
      <w:vanish/>
      <w:sz w:val="16"/>
    </w:rPr>
  </w:style>
  <w:style w:type="paragraph" w:customStyle="1" w:styleId="51">
    <w:name w:val="Default"/>
    <w:qFormat/>
    <w:uiPriority w:val="0"/>
    <w:pPr>
      <w:widowControl w:val="0"/>
      <w:autoSpaceDE w:val="0"/>
      <w:autoSpaceDN w:val="0"/>
      <w:adjustRightInd w:val="0"/>
      <w:spacing w:after="200" w:line="276" w:lineRule="auto"/>
    </w:pPr>
    <w:rPr>
      <w:rFonts w:ascii="宋体" w:hAnsi="Times New Roman" w:eastAsia="宋体" w:cs="宋体"/>
      <w:color w:val="000000"/>
      <w:sz w:val="24"/>
      <w:szCs w:val="24"/>
      <w:lang w:val="en-US" w:eastAsia="zh-CN" w:bidi="ar-SA"/>
    </w:rPr>
  </w:style>
  <w:style w:type="character" w:customStyle="1" w:styleId="52">
    <w:name w:val="已访问的超链接1"/>
    <w:qFormat/>
    <w:uiPriority w:val="99"/>
    <w:rPr>
      <w:rFonts w:hint="eastAsia" w:ascii="微软雅黑" w:hAnsi="微软雅黑" w:eastAsia="微软雅黑" w:cs="微软雅黑"/>
      <w:color w:val="02396F"/>
      <w:u w:val="single"/>
    </w:rPr>
  </w:style>
  <w:style w:type="character" w:customStyle="1" w:styleId="53">
    <w:name w:val="列出段落 Char"/>
    <w:link w:val="54"/>
    <w:qFormat/>
    <w:uiPriority w:val="0"/>
    <w:rPr>
      <w:kern w:val="2"/>
      <w:sz w:val="21"/>
      <w:szCs w:val="24"/>
    </w:rPr>
  </w:style>
  <w:style w:type="paragraph" w:customStyle="1" w:styleId="54">
    <w:name w:val="列出段落1"/>
    <w:basedOn w:val="1"/>
    <w:link w:val="53"/>
    <w:qFormat/>
    <w:uiPriority w:val="0"/>
    <w:pPr>
      <w:ind w:firstLine="420" w:firstLineChars="200"/>
    </w:pPr>
    <w:rPr>
      <w:rFonts w:ascii="Calibri"/>
      <w:snapToGrid/>
      <w:kern w:val="2"/>
      <w:lang w:val="zh-CN"/>
    </w:rPr>
  </w:style>
  <w:style w:type="character" w:customStyle="1" w:styleId="55">
    <w:name w:val="页眉 字符"/>
    <w:link w:val="25"/>
    <w:qFormat/>
    <w:locked/>
    <w:uiPriority w:val="99"/>
    <w:rPr>
      <w:rFonts w:ascii="宋体" w:eastAsia="宋体"/>
      <w:snapToGrid w:val="0"/>
      <w:kern w:val="21"/>
      <w:sz w:val="18"/>
      <w:szCs w:val="18"/>
      <w:lang w:val="en-US" w:eastAsia="zh-CN" w:bidi="ar-SA"/>
    </w:rPr>
  </w:style>
  <w:style w:type="character" w:customStyle="1" w:styleId="56">
    <w:name w:val="纯文本 字符2"/>
    <w:link w:val="19"/>
    <w:qFormat/>
    <w:uiPriority w:val="99"/>
    <w:rPr>
      <w:rFonts w:ascii="宋体" w:eastAsia="宋体"/>
      <w:kern w:val="2"/>
      <w:sz w:val="21"/>
      <w:lang w:val="en-US" w:eastAsia="zh-CN" w:bidi="ar-SA"/>
    </w:rPr>
  </w:style>
  <w:style w:type="character" w:customStyle="1" w:styleId="57">
    <w:name w:val="font71"/>
    <w:qFormat/>
    <w:uiPriority w:val="0"/>
    <w:rPr>
      <w:rFonts w:hint="default" w:ascii="Times New Roman" w:hAnsi="Times New Roman" w:cs="Times New Roman"/>
      <w:color w:val="000000"/>
      <w:sz w:val="22"/>
      <w:szCs w:val="22"/>
      <w:u w:val="none"/>
    </w:rPr>
  </w:style>
  <w:style w:type="character" w:customStyle="1" w:styleId="58">
    <w:name w:val="页脚 字符"/>
    <w:link w:val="24"/>
    <w:qFormat/>
    <w:locked/>
    <w:uiPriority w:val="99"/>
    <w:rPr>
      <w:rFonts w:ascii="宋体" w:eastAsia="宋体"/>
      <w:snapToGrid w:val="0"/>
      <w:kern w:val="21"/>
      <w:sz w:val="18"/>
      <w:szCs w:val="18"/>
      <w:lang w:val="en-US" w:eastAsia="zh-CN" w:bidi="ar-SA"/>
    </w:rPr>
  </w:style>
  <w:style w:type="character" w:customStyle="1" w:styleId="59">
    <w:name w:val="displayarti"/>
    <w:qFormat/>
    <w:uiPriority w:val="0"/>
    <w:rPr>
      <w:color w:val="FFFFFF"/>
      <w:shd w:val="clear" w:color="auto" w:fill="A00000"/>
    </w:rPr>
  </w:style>
  <w:style w:type="character" w:customStyle="1" w:styleId="60">
    <w:name w:val="grame"/>
    <w:basedOn w:val="39"/>
    <w:qFormat/>
    <w:uiPriority w:val="0"/>
  </w:style>
  <w:style w:type="character" w:customStyle="1" w:styleId="61">
    <w:name w:val="招标5 Char Char"/>
    <w:link w:val="62"/>
    <w:qFormat/>
    <w:uiPriority w:val="0"/>
    <w:rPr>
      <w:rFonts w:eastAsia="宋体"/>
      <w:kern w:val="2"/>
      <w:sz w:val="18"/>
      <w:szCs w:val="18"/>
      <w:lang w:val="en-US" w:eastAsia="zh-CN" w:bidi="ar-SA"/>
    </w:rPr>
  </w:style>
  <w:style w:type="paragraph" w:customStyle="1" w:styleId="62">
    <w:name w:val="招标5"/>
    <w:basedOn w:val="1"/>
    <w:link w:val="61"/>
    <w:qFormat/>
    <w:uiPriority w:val="0"/>
    <w:pPr>
      <w:spacing w:line="300" w:lineRule="auto"/>
    </w:pPr>
    <w:rPr>
      <w:rFonts w:ascii="Calibri"/>
      <w:snapToGrid/>
      <w:kern w:val="2"/>
      <w:sz w:val="18"/>
      <w:szCs w:val="18"/>
    </w:rPr>
  </w:style>
  <w:style w:type="character" w:customStyle="1" w:styleId="63">
    <w:name w:val="正文文本 2 字符"/>
    <w:link w:val="33"/>
    <w:qFormat/>
    <w:uiPriority w:val="0"/>
    <w:rPr>
      <w:rFonts w:ascii="宋体"/>
      <w:snapToGrid w:val="0"/>
      <w:kern w:val="21"/>
      <w:sz w:val="21"/>
      <w:szCs w:val="24"/>
    </w:rPr>
  </w:style>
  <w:style w:type="character" w:customStyle="1" w:styleId="64">
    <w:name w:val="redfilenumber"/>
    <w:qFormat/>
    <w:uiPriority w:val="0"/>
    <w:rPr>
      <w:color w:val="BA2636"/>
      <w:sz w:val="18"/>
      <w:szCs w:val="18"/>
    </w:rPr>
  </w:style>
  <w:style w:type="character" w:customStyle="1" w:styleId="65">
    <w:name w:val="表格正文 Char"/>
    <w:link w:val="66"/>
    <w:qFormat/>
    <w:uiPriority w:val="0"/>
    <w:rPr>
      <w:rFonts w:ascii="宋体" w:hAnsi="宋体"/>
      <w:kern w:val="2"/>
      <w:sz w:val="21"/>
      <w:szCs w:val="21"/>
      <w:lang w:val="zh-CN"/>
    </w:rPr>
  </w:style>
  <w:style w:type="paragraph" w:customStyle="1" w:styleId="66">
    <w:name w:val="表格正文"/>
    <w:basedOn w:val="8"/>
    <w:link w:val="65"/>
    <w:qFormat/>
    <w:uiPriority w:val="0"/>
    <w:pPr>
      <w:adjustRightInd w:val="0"/>
      <w:snapToGrid w:val="0"/>
      <w:spacing w:beforeLines="50" w:afterLines="50"/>
      <w:ind w:firstLine="0"/>
    </w:pPr>
    <w:rPr>
      <w:rFonts w:ascii="宋体" w:hAnsi="宋体"/>
      <w:szCs w:val="21"/>
    </w:rPr>
  </w:style>
  <w:style w:type="character" w:customStyle="1" w:styleId="67">
    <w:name w:val="标题 4 字符"/>
    <w:link w:val="5"/>
    <w:semiHidden/>
    <w:qFormat/>
    <w:uiPriority w:val="0"/>
    <w:rPr>
      <w:rFonts w:ascii="Cambria" w:hAnsi="Cambria" w:eastAsia="宋体" w:cs="Times New Roman"/>
      <w:b/>
      <w:bCs/>
      <w:snapToGrid w:val="0"/>
      <w:kern w:val="21"/>
      <w:sz w:val="28"/>
      <w:szCs w:val="28"/>
    </w:rPr>
  </w:style>
  <w:style w:type="character" w:customStyle="1" w:styleId="68">
    <w:name w:val="批注文字 Char1"/>
    <w:qFormat/>
    <w:uiPriority w:val="0"/>
    <w:rPr>
      <w:kern w:val="2"/>
      <w:sz w:val="21"/>
      <w:szCs w:val="24"/>
    </w:rPr>
  </w:style>
  <w:style w:type="character" w:customStyle="1" w:styleId="69">
    <w:name w:val="gjfg"/>
    <w:basedOn w:val="39"/>
    <w:qFormat/>
    <w:uiPriority w:val="0"/>
  </w:style>
  <w:style w:type="character" w:customStyle="1" w:styleId="70">
    <w:name w:val="招标2 Char Char"/>
    <w:basedOn w:val="71"/>
    <w:link w:val="73"/>
    <w:qFormat/>
    <w:uiPriority w:val="0"/>
    <w:rPr>
      <w:rFonts w:hAnsi="宋体" w:eastAsia="宋体"/>
      <w:sz w:val="24"/>
      <w:szCs w:val="24"/>
      <w:lang w:val="en-US" w:eastAsia="zh-CN" w:bidi="ar-SA"/>
    </w:rPr>
  </w:style>
  <w:style w:type="character" w:customStyle="1" w:styleId="71">
    <w:name w:val="招标 Char Char"/>
    <w:link w:val="72"/>
    <w:qFormat/>
    <w:uiPriority w:val="0"/>
    <w:rPr>
      <w:rFonts w:hAnsi="宋体" w:eastAsia="宋体"/>
      <w:sz w:val="24"/>
      <w:szCs w:val="24"/>
      <w:lang w:val="en-US" w:eastAsia="zh-CN" w:bidi="ar-SA"/>
    </w:rPr>
  </w:style>
  <w:style w:type="paragraph" w:customStyle="1" w:styleId="72">
    <w:name w:val="招标"/>
    <w:basedOn w:val="19"/>
    <w:link w:val="71"/>
    <w:qFormat/>
    <w:uiPriority w:val="0"/>
    <w:pPr>
      <w:spacing w:line="276" w:lineRule="auto"/>
    </w:pPr>
    <w:rPr>
      <w:rFonts w:ascii="Calibri" w:hAnsi="宋体"/>
      <w:kern w:val="0"/>
      <w:sz w:val="24"/>
      <w:szCs w:val="24"/>
    </w:rPr>
  </w:style>
  <w:style w:type="paragraph" w:customStyle="1" w:styleId="73">
    <w:name w:val="招标2"/>
    <w:basedOn w:val="72"/>
    <w:link w:val="70"/>
    <w:qFormat/>
    <w:uiPriority w:val="0"/>
    <w:pPr>
      <w:spacing w:line="300" w:lineRule="auto"/>
      <w:ind w:left="851"/>
    </w:pPr>
  </w:style>
  <w:style w:type="character" w:customStyle="1" w:styleId="74">
    <w:name w:val="正文文本缩进 2 字符"/>
    <w:link w:val="22"/>
    <w:qFormat/>
    <w:uiPriority w:val="0"/>
    <w:rPr>
      <w:rFonts w:ascii="宋体"/>
      <w:kern w:val="2"/>
      <w:sz w:val="24"/>
    </w:rPr>
  </w:style>
  <w:style w:type="character" w:customStyle="1" w:styleId="75">
    <w:name w:val="文档结构图 字符"/>
    <w:link w:val="10"/>
    <w:semiHidden/>
    <w:qFormat/>
    <w:uiPriority w:val="99"/>
    <w:rPr>
      <w:rFonts w:ascii="宋体"/>
      <w:snapToGrid w:val="0"/>
      <w:kern w:val="21"/>
      <w:sz w:val="21"/>
      <w:szCs w:val="24"/>
      <w:shd w:val="clear" w:color="auto" w:fill="000080"/>
    </w:rPr>
  </w:style>
  <w:style w:type="character" w:customStyle="1" w:styleId="76">
    <w:name w:val="redfilefwwh"/>
    <w:qFormat/>
    <w:uiPriority w:val="0"/>
    <w:rPr>
      <w:color w:val="BA2636"/>
      <w:sz w:val="18"/>
      <w:szCs w:val="18"/>
    </w:rPr>
  </w:style>
  <w:style w:type="character" w:customStyle="1" w:styleId="77">
    <w:name w:val="font51"/>
    <w:qFormat/>
    <w:uiPriority w:val="0"/>
    <w:rPr>
      <w:rFonts w:hint="eastAsia" w:ascii="宋体" w:hAnsi="宋体" w:eastAsia="宋体" w:cs="宋体"/>
      <w:color w:val="000000"/>
      <w:sz w:val="22"/>
      <w:szCs w:val="22"/>
      <w:u w:val="none"/>
    </w:rPr>
  </w:style>
  <w:style w:type="character" w:customStyle="1" w:styleId="78">
    <w:name w:val="font61"/>
    <w:qFormat/>
    <w:uiPriority w:val="0"/>
    <w:rPr>
      <w:rFonts w:hint="default" w:ascii="Tahoma" w:hAnsi="Tahoma" w:eastAsia="Tahoma" w:cs="Tahoma"/>
      <w:color w:val="000000"/>
      <w:sz w:val="22"/>
      <w:szCs w:val="22"/>
      <w:u w:val="none"/>
    </w:rPr>
  </w:style>
  <w:style w:type="character" w:customStyle="1" w:styleId="79">
    <w:name w:val="批注文字 字符"/>
    <w:link w:val="12"/>
    <w:qFormat/>
    <w:uiPriority w:val="0"/>
    <w:rPr>
      <w:kern w:val="2"/>
      <w:sz w:val="21"/>
    </w:rPr>
  </w:style>
  <w:style w:type="character" w:customStyle="1" w:styleId="80">
    <w:name w:val="标题 1 字符1"/>
    <w:link w:val="2"/>
    <w:qFormat/>
    <w:locked/>
    <w:uiPriority w:val="0"/>
    <w:rPr>
      <w:rFonts w:eastAsia="宋体"/>
      <w:b/>
      <w:bCs/>
      <w:kern w:val="44"/>
      <w:sz w:val="30"/>
      <w:szCs w:val="44"/>
      <w:lang w:val="en-US" w:eastAsia="zh-CN" w:bidi="ar-SA"/>
    </w:rPr>
  </w:style>
  <w:style w:type="character" w:customStyle="1" w:styleId="81">
    <w:name w:val="正文缩进 字符"/>
    <w:link w:val="8"/>
    <w:qFormat/>
    <w:uiPriority w:val="99"/>
    <w:rPr>
      <w:kern w:val="2"/>
      <w:sz w:val="21"/>
    </w:rPr>
  </w:style>
  <w:style w:type="character" w:customStyle="1" w:styleId="82">
    <w:name w:val="标题 2 字符1"/>
    <w:link w:val="3"/>
    <w:qFormat/>
    <w:uiPriority w:val="0"/>
    <w:rPr>
      <w:rFonts w:hint="eastAsia" w:ascii="黑体" w:hAnsi="宋体" w:eastAsia="黑体" w:cs="黑体"/>
      <w:bCs/>
      <w:kern w:val="2"/>
      <w:sz w:val="32"/>
      <w:szCs w:val="36"/>
    </w:rPr>
  </w:style>
  <w:style w:type="character" w:customStyle="1" w:styleId="83">
    <w:name w:val="标题 3 字符"/>
    <w:link w:val="4"/>
    <w:qFormat/>
    <w:uiPriority w:val="0"/>
    <w:rPr>
      <w:rFonts w:hint="eastAsia" w:ascii="黑体" w:hAnsi="宋体" w:eastAsia="黑体" w:cs="黑体"/>
      <w:bCs/>
      <w:kern w:val="2"/>
      <w:sz w:val="30"/>
    </w:rPr>
  </w:style>
  <w:style w:type="character" w:customStyle="1" w:styleId="84">
    <w:name w:val="纯文本 Char1"/>
    <w:qFormat/>
    <w:uiPriority w:val="0"/>
    <w:rPr>
      <w:rFonts w:ascii="宋体" w:eastAsia="宋体"/>
    </w:rPr>
  </w:style>
  <w:style w:type="character" w:customStyle="1" w:styleId="85">
    <w:name w:val="qxdate"/>
    <w:qFormat/>
    <w:uiPriority w:val="0"/>
    <w:rPr>
      <w:color w:val="333333"/>
      <w:sz w:val="18"/>
      <w:szCs w:val="18"/>
    </w:rPr>
  </w:style>
  <w:style w:type="character" w:customStyle="1" w:styleId="86">
    <w:name w:val="font121"/>
    <w:qFormat/>
    <w:uiPriority w:val="0"/>
    <w:rPr>
      <w:rFonts w:hint="eastAsia" w:ascii="宋体" w:hAnsi="宋体" w:eastAsia="宋体" w:cs="宋体"/>
      <w:color w:val="000000"/>
      <w:sz w:val="22"/>
      <w:szCs w:val="22"/>
      <w:u w:val="none"/>
    </w:rPr>
  </w:style>
  <w:style w:type="character" w:customStyle="1" w:styleId="87">
    <w:name w:val="cfdate"/>
    <w:qFormat/>
    <w:uiPriority w:val="0"/>
    <w:rPr>
      <w:color w:val="333333"/>
      <w:sz w:val="18"/>
      <w:szCs w:val="18"/>
    </w:rPr>
  </w:style>
  <w:style w:type="character" w:customStyle="1" w:styleId="88">
    <w:name w:val="apple-converted-space"/>
    <w:basedOn w:val="39"/>
    <w:qFormat/>
    <w:uiPriority w:val="0"/>
  </w:style>
  <w:style w:type="character" w:customStyle="1" w:styleId="89">
    <w:name w:val="正文文本缩进 字符"/>
    <w:link w:val="15"/>
    <w:qFormat/>
    <w:uiPriority w:val="0"/>
    <w:rPr>
      <w:rFonts w:ascii="宋体"/>
      <w:snapToGrid w:val="0"/>
      <w:kern w:val="21"/>
      <w:sz w:val="21"/>
      <w:szCs w:val="24"/>
    </w:rPr>
  </w:style>
  <w:style w:type="character" w:customStyle="1" w:styleId="90">
    <w:name w:val="apple-style-span"/>
    <w:basedOn w:val="39"/>
    <w:qFormat/>
    <w:uiPriority w:val="0"/>
  </w:style>
  <w:style w:type="paragraph" w:customStyle="1" w:styleId="91">
    <w:name w:val="目录 71"/>
    <w:basedOn w:val="1"/>
    <w:next w:val="1"/>
    <w:semiHidden/>
    <w:qFormat/>
    <w:uiPriority w:val="0"/>
    <w:pPr>
      <w:ind w:left="1260"/>
      <w:jc w:val="left"/>
    </w:pPr>
    <w:rPr>
      <w:rFonts w:ascii="Times New Roman"/>
      <w:sz w:val="18"/>
      <w:szCs w:val="18"/>
    </w:rPr>
  </w:style>
  <w:style w:type="paragraph" w:customStyle="1" w:styleId="92">
    <w:name w:val="目录 91"/>
    <w:basedOn w:val="1"/>
    <w:next w:val="1"/>
    <w:semiHidden/>
    <w:qFormat/>
    <w:uiPriority w:val="0"/>
    <w:pPr>
      <w:ind w:left="1680"/>
      <w:jc w:val="left"/>
    </w:pPr>
    <w:rPr>
      <w:rFonts w:ascii="Times New Roman"/>
      <w:sz w:val="18"/>
      <w:szCs w:val="18"/>
    </w:rPr>
  </w:style>
  <w:style w:type="paragraph" w:customStyle="1" w:styleId="93">
    <w:name w:val="目录 21"/>
    <w:basedOn w:val="1"/>
    <w:next w:val="1"/>
    <w:qFormat/>
    <w:uiPriority w:val="39"/>
    <w:pPr>
      <w:ind w:left="210"/>
      <w:jc w:val="left"/>
    </w:pPr>
    <w:rPr>
      <w:rFonts w:ascii="Times New Roman"/>
      <w:smallCaps/>
      <w:sz w:val="20"/>
      <w:szCs w:val="20"/>
    </w:rPr>
  </w:style>
  <w:style w:type="paragraph" w:customStyle="1" w:styleId="94">
    <w:name w:val="目录 81"/>
    <w:basedOn w:val="1"/>
    <w:next w:val="1"/>
    <w:semiHidden/>
    <w:qFormat/>
    <w:uiPriority w:val="0"/>
    <w:pPr>
      <w:ind w:left="1470"/>
      <w:jc w:val="left"/>
    </w:pPr>
    <w:rPr>
      <w:rFonts w:ascii="Times New Roman"/>
      <w:sz w:val="18"/>
      <w:szCs w:val="18"/>
    </w:rPr>
  </w:style>
  <w:style w:type="paragraph" w:customStyle="1" w:styleId="95">
    <w:name w:val="目录 11"/>
    <w:basedOn w:val="1"/>
    <w:next w:val="1"/>
    <w:qFormat/>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96">
    <w:name w:val="目录 41"/>
    <w:basedOn w:val="1"/>
    <w:next w:val="1"/>
    <w:semiHidden/>
    <w:qFormat/>
    <w:uiPriority w:val="0"/>
    <w:pPr>
      <w:ind w:left="630"/>
      <w:jc w:val="left"/>
    </w:pPr>
    <w:rPr>
      <w:rFonts w:ascii="Times New Roman"/>
      <w:sz w:val="18"/>
      <w:szCs w:val="18"/>
    </w:rPr>
  </w:style>
  <w:style w:type="paragraph" w:customStyle="1" w:styleId="97">
    <w:name w:val="目录 31"/>
    <w:basedOn w:val="1"/>
    <w:next w:val="1"/>
    <w:qFormat/>
    <w:uiPriority w:val="39"/>
    <w:pPr>
      <w:ind w:left="420"/>
      <w:jc w:val="left"/>
    </w:pPr>
    <w:rPr>
      <w:rFonts w:ascii="Times New Roman"/>
      <w:i/>
      <w:iCs/>
      <w:sz w:val="20"/>
      <w:szCs w:val="20"/>
    </w:rPr>
  </w:style>
  <w:style w:type="paragraph" w:customStyle="1" w:styleId="98">
    <w:name w:val="目录 51"/>
    <w:basedOn w:val="1"/>
    <w:next w:val="1"/>
    <w:semiHidden/>
    <w:qFormat/>
    <w:uiPriority w:val="0"/>
    <w:pPr>
      <w:ind w:left="840"/>
      <w:jc w:val="left"/>
    </w:pPr>
    <w:rPr>
      <w:rFonts w:ascii="Times New Roman"/>
      <w:sz w:val="18"/>
      <w:szCs w:val="18"/>
    </w:rPr>
  </w:style>
  <w:style w:type="paragraph" w:customStyle="1" w:styleId="99">
    <w:name w:val="目录 61"/>
    <w:basedOn w:val="1"/>
    <w:next w:val="1"/>
    <w:semiHidden/>
    <w:qFormat/>
    <w:uiPriority w:val="0"/>
    <w:pPr>
      <w:ind w:left="1050"/>
      <w:jc w:val="left"/>
    </w:pPr>
    <w:rPr>
      <w:rFonts w:ascii="Times New Roman"/>
      <w:sz w:val="18"/>
      <w:szCs w:val="18"/>
    </w:rPr>
  </w:style>
  <w:style w:type="paragraph" w:customStyle="1" w:styleId="100">
    <w:name w:val="Char"/>
    <w:basedOn w:val="1"/>
    <w:semiHidden/>
    <w:qFormat/>
    <w:uiPriority w:val="0"/>
    <w:pPr>
      <w:widowControl/>
      <w:spacing w:line="400" w:lineRule="exact"/>
      <w:jc w:val="center"/>
    </w:pPr>
    <w:rPr>
      <w:rFonts w:ascii="Verdana" w:hAnsi="Verdana"/>
      <w:snapToGrid/>
      <w:kern w:val="0"/>
      <w:szCs w:val="20"/>
      <w:lang w:eastAsia="en-US"/>
    </w:rPr>
  </w:style>
  <w:style w:type="paragraph" w:customStyle="1" w:styleId="101">
    <w:name w:val="正文五号"/>
    <w:basedOn w:val="1"/>
    <w:qFormat/>
    <w:uiPriority w:val="0"/>
    <w:rPr>
      <w:rFonts w:hint="eastAsia" w:eastAsia="仿宋_GB2312"/>
      <w:snapToGrid/>
      <w:kern w:val="2"/>
      <w:szCs w:val="20"/>
    </w:rPr>
  </w:style>
  <w:style w:type="paragraph" w:customStyle="1" w:styleId="102">
    <w:name w:val="Char Char Char Char"/>
    <w:basedOn w:val="1"/>
    <w:qFormat/>
    <w:uiPriority w:val="0"/>
    <w:rPr>
      <w:rFonts w:ascii="Times New Roman"/>
      <w:snapToGrid/>
      <w:kern w:val="2"/>
    </w:rPr>
  </w:style>
  <w:style w:type="paragraph" w:customStyle="1" w:styleId="103">
    <w:name w:val="默认段落字体 Para Char"/>
    <w:basedOn w:val="1"/>
    <w:qFormat/>
    <w:uiPriority w:val="0"/>
    <w:rPr>
      <w:rFonts w:ascii="Times New Roman"/>
      <w:snapToGrid/>
      <w:kern w:val="2"/>
      <w:szCs w:val="20"/>
    </w:rPr>
  </w:style>
  <w:style w:type="paragraph" w:customStyle="1" w:styleId="104">
    <w:name w:val="Char Char Char Char Char Char1 Char"/>
    <w:basedOn w:val="1"/>
    <w:qFormat/>
    <w:uiPriority w:val="0"/>
    <w:pPr>
      <w:widowControl/>
      <w:spacing w:after="160" w:line="240" w:lineRule="exact"/>
      <w:jc w:val="left"/>
    </w:pPr>
    <w:rPr>
      <w:rFonts w:ascii="Verdana" w:hAnsi="Verdana"/>
      <w:snapToGrid/>
      <w:kern w:val="0"/>
      <w:szCs w:val="20"/>
      <w:lang w:eastAsia="en-US"/>
    </w:rPr>
  </w:style>
  <w:style w:type="paragraph" w:customStyle="1" w:styleId="105">
    <w:name w:val="目录"/>
    <w:basedOn w:val="1"/>
    <w:qFormat/>
    <w:uiPriority w:val="0"/>
    <w:pPr>
      <w:widowControl/>
      <w:jc w:val="center"/>
    </w:pPr>
    <w:rPr>
      <w:b/>
      <w:snapToGrid/>
      <w:kern w:val="0"/>
      <w:sz w:val="36"/>
      <w:szCs w:val="20"/>
    </w:rPr>
  </w:style>
  <w:style w:type="paragraph" w:customStyle="1" w:styleId="106">
    <w:name w:val="Char Char2 Char Char"/>
    <w:basedOn w:val="1"/>
    <w:qFormat/>
    <w:uiPriority w:val="0"/>
    <w:rPr>
      <w:rFonts w:ascii="Times New Roman"/>
      <w:snapToGrid/>
      <w:kern w:val="2"/>
      <w:szCs w:val="20"/>
    </w:rPr>
  </w:style>
  <w:style w:type="paragraph" w:customStyle="1" w:styleId="107">
    <w:name w:val="小标题"/>
    <w:basedOn w:val="1"/>
    <w:qFormat/>
    <w:uiPriority w:val="0"/>
    <w:pPr>
      <w:numPr>
        <w:ilvl w:val="0"/>
        <w:numId w:val="2"/>
      </w:numPr>
      <w:spacing w:beforeLines="25"/>
      <w:ind w:firstLine="0"/>
    </w:pPr>
    <w:rPr>
      <w:rFonts w:ascii="Arial" w:hAnsi="Arial" w:eastAsia="黑体"/>
      <w:b/>
      <w:kern w:val="2"/>
      <w:sz w:val="24"/>
      <w:szCs w:val="20"/>
    </w:rPr>
  </w:style>
  <w:style w:type="paragraph" w:customStyle="1" w:styleId="108">
    <w:name w:val="Char Char2 Char Char1"/>
    <w:basedOn w:val="1"/>
    <w:qFormat/>
    <w:uiPriority w:val="0"/>
    <w:rPr>
      <w:rFonts w:ascii="Times New Roman"/>
      <w:snapToGrid/>
      <w:kern w:val="2"/>
      <w:szCs w:val="20"/>
    </w:rPr>
  </w:style>
  <w:style w:type="paragraph" w:customStyle="1" w:styleId="109">
    <w:name w:val="p39"/>
    <w:basedOn w:val="1"/>
    <w:qFormat/>
    <w:uiPriority w:val="0"/>
    <w:pPr>
      <w:tabs>
        <w:tab w:val="left" w:pos="1100"/>
      </w:tabs>
      <w:spacing w:line="240" w:lineRule="atLeast"/>
      <w:ind w:left="288" w:hanging="1152"/>
    </w:pPr>
    <w:rPr>
      <w:rFonts w:ascii="Times New Roman"/>
      <w:kern w:val="0"/>
      <w:sz w:val="24"/>
      <w:szCs w:val="20"/>
      <w:lang w:val="en-GB" w:eastAsia="en-US"/>
    </w:rPr>
  </w:style>
  <w:style w:type="paragraph" w:customStyle="1" w:styleId="110">
    <w:name w:val="样式1"/>
    <w:basedOn w:val="3"/>
    <w:qFormat/>
    <w:uiPriority w:val="0"/>
    <w:pPr>
      <w:adjustRightInd w:val="0"/>
      <w:spacing w:before="240" w:after="0" w:line="416" w:lineRule="atLeast"/>
      <w:jc w:val="left"/>
      <w:textAlignment w:val="baseline"/>
    </w:pPr>
    <w:rPr>
      <w:bCs w:val="0"/>
      <w:color w:val="000000"/>
      <w:kern w:val="0"/>
      <w:sz w:val="30"/>
      <w:szCs w:val="20"/>
    </w:rPr>
  </w:style>
  <w:style w:type="paragraph" w:customStyle="1" w:styleId="111">
    <w:name w:val="抬头"/>
    <w:basedOn w:val="1"/>
    <w:qFormat/>
    <w:uiPriority w:val="0"/>
    <w:pPr>
      <w:spacing w:beforeLines="50" w:line="360" w:lineRule="auto"/>
    </w:pPr>
    <w:rPr>
      <w:snapToGrid/>
      <w:kern w:val="2"/>
      <w:sz w:val="24"/>
    </w:rPr>
  </w:style>
  <w:style w:type="paragraph" w:customStyle="1" w:styleId="112">
    <w:name w:val="Char1"/>
    <w:basedOn w:val="1"/>
    <w:qFormat/>
    <w:uiPriority w:val="0"/>
    <w:rPr>
      <w:rFonts w:ascii="Tahoma" w:hAnsi="Tahoma"/>
      <w:snapToGrid/>
      <w:kern w:val="2"/>
      <w:sz w:val="24"/>
      <w:szCs w:val="20"/>
    </w:rPr>
  </w:style>
  <w:style w:type="paragraph" w:customStyle="1" w:styleId="113">
    <w:name w:val="彩色列表 - 强调文字颜色 11"/>
    <w:basedOn w:val="1"/>
    <w:qFormat/>
    <w:uiPriority w:val="0"/>
    <w:pPr>
      <w:ind w:firstLine="420" w:firstLineChars="200"/>
    </w:pPr>
    <w:rPr>
      <w:rFonts w:ascii="Calibri"/>
      <w:snapToGrid/>
      <w:kern w:val="2"/>
      <w:szCs w:val="22"/>
    </w:rPr>
  </w:style>
  <w:style w:type="paragraph" w:customStyle="1" w:styleId="114">
    <w:name w:val="p3"/>
    <w:basedOn w:val="1"/>
    <w:qFormat/>
    <w:uiPriority w:val="0"/>
    <w:pPr>
      <w:tabs>
        <w:tab w:val="left" w:pos="360"/>
      </w:tabs>
      <w:spacing w:line="400" w:lineRule="atLeast"/>
      <w:ind w:left="1080"/>
      <w:jc w:val="left"/>
    </w:pPr>
    <w:rPr>
      <w:rFonts w:ascii="Times New Roman"/>
      <w:kern w:val="0"/>
      <w:sz w:val="24"/>
      <w:szCs w:val="20"/>
      <w:lang w:val="en-GB" w:eastAsia="en-US"/>
    </w:rPr>
  </w:style>
  <w:style w:type="paragraph" w:customStyle="1" w:styleId="115">
    <w:name w:val="Char Char Char Char1"/>
    <w:basedOn w:val="10"/>
    <w:qFormat/>
    <w:uiPriority w:val="0"/>
    <w:pPr>
      <w:adjustRightInd w:val="0"/>
      <w:snapToGrid w:val="0"/>
      <w:spacing w:line="360" w:lineRule="auto"/>
    </w:pPr>
    <w:rPr>
      <w:rFonts w:ascii="Tahoma" w:hAnsi="Tahoma"/>
      <w:snapToGrid/>
      <w:kern w:val="2"/>
      <w:sz w:val="24"/>
    </w:rPr>
  </w:style>
  <w:style w:type="paragraph" w:customStyle="1" w:styleId="116">
    <w:name w:val="段"/>
    <w:next w:val="1"/>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17">
    <w:name w:val="列表段落1"/>
    <w:basedOn w:val="1"/>
    <w:qFormat/>
    <w:uiPriority w:val="0"/>
    <w:pPr>
      <w:ind w:firstLine="420" w:firstLineChars="200"/>
    </w:pPr>
    <w:rPr>
      <w:rFonts w:ascii="Calibri"/>
      <w:snapToGrid/>
      <w:kern w:val="2"/>
      <w:szCs w:val="22"/>
    </w:rPr>
  </w:style>
  <w:style w:type="paragraph" w:customStyle="1" w:styleId="118">
    <w:name w:val="xl23"/>
    <w:next w:val="92"/>
    <w:qFormat/>
    <w:uiPriority w:val="0"/>
    <w:pPr>
      <w:spacing w:before="100" w:beforeAutospacing="1" w:after="100" w:afterAutospacing="1"/>
      <w:jc w:val="center"/>
    </w:pPr>
    <w:rPr>
      <w:rFonts w:ascii="Arial Unicode MS" w:hAnsi="Arial Unicode MS" w:eastAsia="Arial Unicode MS" w:cs="Times New Roman"/>
      <w:sz w:val="24"/>
      <w:lang w:val="en-US" w:eastAsia="zh-CN" w:bidi="ar-SA"/>
    </w:rPr>
  </w:style>
  <w:style w:type="paragraph" w:customStyle="1" w:styleId="119">
    <w:name w:val="p13"/>
    <w:basedOn w:val="1"/>
    <w:qFormat/>
    <w:uiPriority w:val="0"/>
    <w:pPr>
      <w:tabs>
        <w:tab w:val="left" w:pos="860"/>
      </w:tabs>
      <w:spacing w:line="400" w:lineRule="atLeast"/>
      <w:ind w:left="576" w:hanging="144"/>
      <w:jc w:val="left"/>
    </w:pPr>
    <w:rPr>
      <w:rFonts w:ascii="Times New Roman"/>
      <w:kern w:val="0"/>
      <w:sz w:val="24"/>
      <w:szCs w:val="20"/>
      <w:lang w:val="en-GB" w:eastAsia="en-US"/>
    </w:rPr>
  </w:style>
  <w:style w:type="paragraph" w:customStyle="1" w:styleId="120">
    <w:name w:val="Char Char1"/>
    <w:basedOn w:val="1"/>
    <w:qFormat/>
    <w:uiPriority w:val="0"/>
    <w:pPr>
      <w:widowControl/>
      <w:spacing w:after="160" w:line="240" w:lineRule="exact"/>
      <w:jc w:val="left"/>
    </w:pPr>
    <w:rPr>
      <w:rFonts w:ascii="Verdana" w:hAnsi="Verdana" w:eastAsia="仿宋_GB2312"/>
      <w:snapToGrid/>
      <w:kern w:val="0"/>
      <w:sz w:val="20"/>
      <w:szCs w:val="20"/>
      <w:lang w:eastAsia="en-US"/>
    </w:rPr>
  </w:style>
  <w:style w:type="paragraph" w:customStyle="1" w:styleId="121">
    <w:name w:val="ÕýÎÄ"/>
    <w:qFormat/>
    <w:uiPriority w:val="0"/>
    <w:pPr>
      <w:widowControl w:val="0"/>
      <w:overflowPunct w:val="0"/>
      <w:autoSpaceDE w:val="0"/>
      <w:autoSpaceDN w:val="0"/>
      <w:adjustRightInd w:val="0"/>
      <w:spacing w:line="351" w:lineRule="atLeast"/>
      <w:ind w:firstLine="419"/>
      <w:jc w:val="both"/>
      <w:textAlignment w:val="baseline"/>
    </w:pPr>
    <w:rPr>
      <w:rFonts w:ascii="Calibri" w:hAnsi="Calibri" w:eastAsia="宋体" w:cs="Times New Roman"/>
      <w:color w:val="000000"/>
      <w:sz w:val="21"/>
      <w:lang w:val="en-US" w:eastAsia="zh-CN" w:bidi="ar-SA"/>
    </w:rPr>
  </w:style>
  <w:style w:type="paragraph" w:customStyle="1" w:styleId="122">
    <w:name w:val="默认段落字体 Para Char Char Char Char"/>
    <w:basedOn w:val="1"/>
    <w:qFormat/>
    <w:uiPriority w:val="0"/>
    <w:rPr>
      <w:rFonts w:ascii="Times New Roman"/>
      <w:snapToGrid/>
      <w:kern w:val="2"/>
    </w:rPr>
  </w:style>
  <w:style w:type="paragraph" w:customStyle="1" w:styleId="123">
    <w:name w:val="Y 正文"/>
    <w:basedOn w:val="1"/>
    <w:qFormat/>
    <w:uiPriority w:val="0"/>
    <w:pPr>
      <w:adjustRightInd w:val="0"/>
      <w:snapToGrid w:val="0"/>
      <w:spacing w:line="360" w:lineRule="auto"/>
      <w:ind w:firstLine="200" w:firstLineChars="200"/>
    </w:pPr>
    <w:rPr>
      <w:rFonts w:ascii="Times New Roman"/>
      <w:snapToGrid/>
      <w:kern w:val="2"/>
      <w:sz w:val="24"/>
      <w:szCs w:val="22"/>
      <w:shd w:val="clear" w:color="auto" w:fill="FFFFFF"/>
    </w:rPr>
  </w:style>
  <w:style w:type="paragraph" w:customStyle="1" w:styleId="124">
    <w:name w:val="项目排列"/>
    <w:basedOn w:val="1"/>
    <w:qFormat/>
    <w:uiPriority w:val="0"/>
    <w:pPr>
      <w:numPr>
        <w:ilvl w:val="0"/>
        <w:numId w:val="3"/>
      </w:numPr>
      <w:spacing w:beforeLines="50" w:line="300" w:lineRule="auto"/>
      <w:ind w:firstLine="0"/>
    </w:pPr>
    <w:rPr>
      <w:rFonts w:ascii="Times New Roman" w:hAnsi="Times New Roman"/>
      <w:kern w:val="2"/>
      <w:sz w:val="24"/>
    </w:rPr>
  </w:style>
  <w:style w:type="character" w:customStyle="1" w:styleId="125">
    <w:name w:val="标题 1 字符"/>
    <w:qFormat/>
    <w:uiPriority w:val="0"/>
    <w:rPr>
      <w:rFonts w:ascii="仿宋_GB2312" w:eastAsia="仿宋_GB2312"/>
      <w:b/>
      <w:bCs/>
      <w:color w:val="000000"/>
      <w:sz w:val="28"/>
    </w:rPr>
  </w:style>
  <w:style w:type="paragraph" w:customStyle="1" w:styleId="126">
    <w:name w:val="样式 标题 3 + (中文) 黑体 小四 非加粗 段前: 7.8 磅 段后: 0 磅 行距: 固定值 20 磅"/>
    <w:basedOn w:val="4"/>
    <w:qFormat/>
    <w:uiPriority w:val="0"/>
    <w:pPr>
      <w:spacing w:before="0" w:after="0"/>
      <w:ind w:firstLine="0"/>
    </w:pPr>
    <w:rPr>
      <w:rFonts w:hint="default" w:ascii="Times New Roman" w:hAnsi="Times New Roman" w:cs="宋体"/>
      <w:bCs w:val="0"/>
      <w:sz w:val="24"/>
    </w:rPr>
  </w:style>
  <w:style w:type="character" w:customStyle="1" w:styleId="127">
    <w:name w:val="标题 2 字符"/>
    <w:qFormat/>
    <w:uiPriority w:val="0"/>
    <w:rPr>
      <w:rFonts w:ascii="Arial" w:hAnsi="Arial"/>
      <w:b/>
      <w:bCs/>
      <w:kern w:val="2"/>
      <w:sz w:val="28"/>
      <w:szCs w:val="32"/>
    </w:rPr>
  </w:style>
  <w:style w:type="character" w:customStyle="1" w:styleId="128">
    <w:name w:val="纯文本 字符"/>
    <w:qFormat/>
    <w:uiPriority w:val="99"/>
    <w:rPr>
      <w:rFonts w:ascii="宋体"/>
      <w:szCs w:val="24"/>
    </w:rPr>
  </w:style>
  <w:style w:type="character" w:customStyle="1" w:styleId="129">
    <w:name w:val="纯文本 字符1"/>
    <w:qFormat/>
    <w:uiPriority w:val="0"/>
    <w:rPr>
      <w:rFonts w:ascii="宋体" w:hAnsi="Courier New"/>
    </w:rPr>
  </w:style>
  <w:style w:type="character" w:customStyle="1" w:styleId="130">
    <w:name w:val="标题 3 字符1"/>
    <w:qFormat/>
    <w:uiPriority w:val="0"/>
    <w:rPr>
      <w:b/>
      <w:bCs/>
      <w:sz w:val="32"/>
      <w:szCs w:val="32"/>
    </w:rPr>
  </w:style>
  <w:style w:type="paragraph" w:customStyle="1" w:styleId="131">
    <w:name w:val="列出段落3"/>
    <w:basedOn w:val="1"/>
    <w:qFormat/>
    <w:uiPriority w:val="34"/>
    <w:pPr>
      <w:ind w:firstLine="420" w:firstLineChars="200"/>
    </w:pPr>
    <w:rPr>
      <w:rFonts w:ascii="Calibri"/>
      <w:snapToGrid/>
      <w:kern w:val="2"/>
    </w:rPr>
  </w:style>
  <w:style w:type="paragraph" w:customStyle="1" w:styleId="132">
    <w:name w:val="p15"/>
    <w:basedOn w:val="1"/>
    <w:qFormat/>
    <w:uiPriority w:val="0"/>
    <w:pPr>
      <w:snapToGrid w:val="0"/>
      <w:spacing w:before="100" w:after="100"/>
      <w:ind w:left="360" w:right="360"/>
    </w:pPr>
    <w:rPr>
      <w:sz w:val="24"/>
    </w:rPr>
  </w:style>
  <w:style w:type="paragraph" w:customStyle="1" w:styleId="133">
    <w:name w:val="Normal_2"/>
    <w:qFormat/>
    <w:uiPriority w:val="0"/>
    <w:pPr>
      <w:widowControl w:val="0"/>
      <w:jc w:val="both"/>
    </w:pPr>
    <w:rPr>
      <w:rFonts w:ascii="Times New Roman" w:hAnsi="Times New Roman" w:eastAsia="宋体" w:cs="Times New Roman"/>
      <w:kern w:val="2"/>
      <w:sz w:val="21"/>
      <w:lang w:val="en-US" w:eastAsia="zh-CN" w:bidi="ar-SA"/>
    </w:rPr>
  </w:style>
  <w:style w:type="table" w:customStyle="1" w:styleId="134">
    <w:name w:val="网格型1"/>
    <w:basedOn w:val="37"/>
    <w:qFormat/>
    <w:uiPriority w:val="59"/>
    <w:rPr>
      <w:rFonts w:ascii="Calibri" w:hAnsi="Calibri" w:eastAsia="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35">
    <w:name w:val="纯文本1"/>
    <w:basedOn w:val="1"/>
    <w:qFormat/>
    <w:uiPriority w:val="0"/>
    <w:pPr>
      <w:adjustRightInd w:val="0"/>
      <w:textAlignment w:val="baseline"/>
    </w:pPr>
    <w:rPr>
      <w:rFonts w:hAnsi="Courier New"/>
      <w:snapToGrid/>
      <w:kern w:val="2"/>
      <w:szCs w:val="20"/>
    </w:rPr>
  </w:style>
  <w:style w:type="character" w:customStyle="1" w:styleId="136">
    <w:name w:val="批注文字 Char"/>
    <w:qFormat/>
    <w:uiPriority w:val="0"/>
    <w:rPr>
      <w:sz w:val="24"/>
    </w:rPr>
  </w:style>
  <w:style w:type="paragraph" w:customStyle="1" w:styleId="137">
    <w:name w:val="_Style 120"/>
    <w:basedOn w:val="1"/>
    <w:next w:val="12"/>
    <w:link w:val="138"/>
    <w:qFormat/>
    <w:uiPriority w:val="0"/>
    <w:pPr>
      <w:jc w:val="left"/>
    </w:pPr>
    <w:rPr>
      <w:rFonts w:ascii="Times New Roman" w:hAnsi="Times New Roman"/>
      <w:snapToGrid/>
      <w:kern w:val="2"/>
    </w:rPr>
  </w:style>
  <w:style w:type="character" w:customStyle="1" w:styleId="138">
    <w:name w:val="批注文字字符"/>
    <w:link w:val="137"/>
    <w:qFormat/>
    <w:uiPriority w:val="0"/>
    <w:rPr>
      <w:rFonts w:ascii="Times New Roman" w:hAnsi="Times New Roman"/>
      <w:kern w:val="2"/>
      <w:sz w:val="21"/>
      <w:szCs w:val="24"/>
    </w:rPr>
  </w:style>
  <w:style w:type="character" w:customStyle="1" w:styleId="139">
    <w:name w:val="glyphicon6"/>
    <w:basedOn w:val="39"/>
    <w:qFormat/>
    <w:uiPriority w:val="0"/>
  </w:style>
  <w:style w:type="character" w:customStyle="1" w:styleId="140">
    <w:name w:val="indent"/>
    <w:basedOn w:val="39"/>
    <w:qFormat/>
    <w:uiPriority w:val="0"/>
  </w:style>
  <w:style w:type="character" w:customStyle="1" w:styleId="141">
    <w:name w:val="hour_pm"/>
    <w:basedOn w:val="39"/>
    <w:qFormat/>
    <w:uiPriority w:val="0"/>
  </w:style>
  <w:style w:type="character" w:customStyle="1" w:styleId="142">
    <w:name w:val="old"/>
    <w:basedOn w:val="39"/>
    <w:qFormat/>
    <w:uiPriority w:val="0"/>
    <w:rPr>
      <w:color w:val="999999"/>
    </w:rPr>
  </w:style>
  <w:style w:type="character" w:customStyle="1" w:styleId="143">
    <w:name w:val="hover1"/>
    <w:basedOn w:val="39"/>
    <w:qFormat/>
    <w:uiPriority w:val="0"/>
    <w:rPr>
      <w:shd w:val="clear" w:color="auto" w:fill="EEEEEE"/>
    </w:rPr>
  </w:style>
  <w:style w:type="character" w:customStyle="1" w:styleId="144">
    <w:name w:val="hour_am"/>
    <w:basedOn w:val="39"/>
    <w:qFormat/>
    <w:uiPriority w:val="0"/>
  </w:style>
  <w:style w:type="character" w:customStyle="1" w:styleId="145">
    <w:name w:val="icon"/>
    <w:basedOn w:val="39"/>
    <w:qFormat/>
    <w:uiPriority w:val="0"/>
  </w:style>
  <w:style w:type="paragraph" w:customStyle="1" w:styleId="146">
    <w:name w:val="_Style 134"/>
    <w:basedOn w:val="1"/>
    <w:next w:val="1"/>
    <w:qFormat/>
    <w:uiPriority w:val="0"/>
    <w:pPr>
      <w:pBdr>
        <w:bottom w:val="single" w:color="auto" w:sz="6" w:space="1"/>
      </w:pBdr>
      <w:jc w:val="center"/>
    </w:pPr>
    <w:rPr>
      <w:rFonts w:ascii="Arial"/>
      <w:vanish/>
      <w:sz w:val="16"/>
    </w:rPr>
  </w:style>
  <w:style w:type="paragraph" w:customStyle="1" w:styleId="147">
    <w:name w:val="_Style 135"/>
    <w:basedOn w:val="1"/>
    <w:next w:val="1"/>
    <w:qFormat/>
    <w:uiPriority w:val="0"/>
    <w:pPr>
      <w:pBdr>
        <w:top w:val="single" w:color="auto" w:sz="6" w:space="1"/>
      </w:pBdr>
      <w:jc w:val="center"/>
    </w:pPr>
    <w:rPr>
      <w:rFonts w:ascii="Arial"/>
      <w:vanish/>
      <w:sz w:val="16"/>
    </w:rPr>
  </w:style>
  <w:style w:type="character" w:customStyle="1" w:styleId="148">
    <w:name w:val="glyphicon5"/>
    <w:basedOn w:val="39"/>
    <w:qFormat/>
    <w:uiPriority w:val="0"/>
  </w:style>
  <w:style w:type="character" w:customStyle="1" w:styleId="149">
    <w:name w:val="glyphicon"/>
    <w:basedOn w:val="39"/>
    <w:qFormat/>
    <w:uiPriority w:val="0"/>
  </w:style>
  <w:style w:type="character" w:customStyle="1" w:styleId="150">
    <w:name w:val="hover"/>
    <w:basedOn w:val="39"/>
    <w:qFormat/>
    <w:uiPriority w:val="0"/>
    <w:rPr>
      <w:shd w:val="clear" w:color="auto" w:fill="EEEEEE"/>
    </w:rPr>
  </w:style>
  <w:style w:type="character" w:customStyle="1" w:styleId="151">
    <w:name w:val="批注框文本 字符"/>
    <w:basedOn w:val="39"/>
    <w:link w:val="23"/>
    <w:semiHidden/>
    <w:qFormat/>
    <w:uiPriority w:val="99"/>
    <w:rPr>
      <w:rFonts w:ascii="宋体" w:hAnsi="Calibri"/>
      <w:snapToGrid w:val="0"/>
      <w:kern w:val="21"/>
      <w:sz w:val="18"/>
      <w:szCs w:val="18"/>
    </w:rPr>
  </w:style>
  <w:style w:type="character" w:customStyle="1" w:styleId="152">
    <w:name w:val="未处理的提及1"/>
    <w:basedOn w:val="39"/>
    <w:semiHidden/>
    <w:unhideWhenUsed/>
    <w:qFormat/>
    <w:uiPriority w:val="99"/>
    <w:rPr>
      <w:color w:val="605E5C"/>
      <w:shd w:val="clear" w:color="auto" w:fill="E1DFDD"/>
    </w:rPr>
  </w:style>
  <w:style w:type="paragraph" w:styleId="153">
    <w:name w:val="List Paragraph"/>
    <w:basedOn w:val="1"/>
    <w:qFormat/>
    <w:uiPriority w:val="34"/>
    <w:pPr>
      <w:ind w:firstLine="420" w:firstLineChars="200"/>
    </w:pPr>
  </w:style>
  <w:style w:type="character" w:customStyle="1" w:styleId="154">
    <w:name w:val="正文文本2"/>
    <w:qFormat/>
    <w:uiPriority w:val="0"/>
    <w:rPr>
      <w:rFonts w:ascii="宋体" w:hAnsi="宋体" w:eastAsia="Times New Roman" w:cs="宋体"/>
      <w:color w:val="000000"/>
      <w:spacing w:val="0"/>
      <w:w w:val="100"/>
      <w:position w:val="0"/>
      <w:shd w:val="clear" w:color="auto" w:fill="FFFFFF"/>
      <w:lang w:val="zh-CN"/>
    </w:rPr>
  </w:style>
  <w:style w:type="paragraph" w:customStyle="1" w:styleId="155">
    <w:name w:val="正文文本3"/>
    <w:basedOn w:val="1"/>
    <w:qFormat/>
    <w:uiPriority w:val="0"/>
    <w:pPr>
      <w:shd w:val="clear" w:color="auto" w:fill="FFFFFF"/>
      <w:spacing w:line="408" w:lineRule="exact"/>
      <w:ind w:hanging="420"/>
      <w:jc w:val="distribute"/>
    </w:pPr>
    <w:rPr>
      <w:rFonts w:ascii="宋体" w:hAnsi="宋体" w:cs="宋体"/>
      <w:kern w:val="0"/>
      <w:sz w:val="20"/>
      <w:szCs w:val="20"/>
    </w:rPr>
  </w:style>
  <w:style w:type="paragraph" w:customStyle="1" w:styleId="156">
    <w:name w:val="_Style 3"/>
    <w:basedOn w:val="2"/>
    <w:next w:val="1"/>
    <w:qFormat/>
    <w:uiPriority w:val="39"/>
    <w:pPr>
      <w:widowControl/>
      <w:spacing w:before="480" w:after="0" w:line="276" w:lineRule="auto"/>
      <w:jc w:val="left"/>
      <w:outlineLvl w:val="9"/>
    </w:pPr>
    <w:rPr>
      <w:rFonts w:ascii="@Yu Mincho Light" w:hAnsi="@Yu Mincho Light" w:eastAsia="@Yu Mincho Light" w:cs="@MS PMincho"/>
      <w:color w:val="365F91"/>
      <w:kern w:val="0"/>
      <w:sz w:val="28"/>
      <w:szCs w:val="28"/>
    </w:rPr>
  </w:style>
  <w:style w:type="paragraph" w:customStyle="1" w:styleId="157">
    <w:name w:val="样式 标题 2 + 仿宋_GB2312 黑色"/>
    <w:basedOn w:val="3"/>
    <w:autoRedefine/>
    <w:qFormat/>
    <w:uiPriority w:val="0"/>
    <w:pPr>
      <w:jc w:val="center"/>
    </w:pPr>
    <w:rPr>
      <w:rFonts w:ascii="仿宋_GB2312" w:hAnsi="仿宋_GB2312" w:eastAsia="仿宋_GB2312"/>
      <w:color w:val="000000"/>
    </w:rPr>
  </w:style>
  <w:style w:type="paragraph" w:customStyle="1" w:styleId="158">
    <w:name w:val="p0"/>
    <w:basedOn w:val="1"/>
    <w:qFormat/>
    <w:uiPriority w:val="99"/>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宋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Users</Company>
  <Pages>71</Pages>
  <Words>15199</Words>
  <Characters>16507</Characters>
  <Lines>206</Lines>
  <Paragraphs>58</Paragraphs>
  <TotalTime>3</TotalTime>
  <ScaleCrop>false</ScaleCrop>
  <LinksUpToDate>false</LinksUpToDate>
  <CharactersWithSpaces>17584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2022-05-10T04:54:00Z</dcterms:created>
  <dc:creator>KLY</dc:creator>
  <cp:lastModifiedBy>陈丽敏</cp:lastModifiedBy>
  <cp:lastPrinted>2021-10-14T00:50:00Z</cp:lastPrinted>
  <dcterms:modified xsi:type="dcterms:W3CDTF">2025-03-24T08:04:35Z</dcterms:modified>
  <dc:title>文件</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E8D41D15737D458BAA676287FC2B903B_13</vt:lpwstr>
  </property>
  <property fmtid="{D5CDD505-2E9C-101B-9397-08002B2CF9AE}" pid="4" name="KSOTemplateDocerSaveRecord">
    <vt:lpwstr>eyJoZGlkIjoiNzk3MDY5OTU5MTNlYzZkNmVlODVjMGQ5M2I5MTViNTYiLCJ1c2VySWQiOiI0OTQxODQ1NzgifQ==</vt:lpwstr>
  </property>
</Properties>
</file>