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BC8FB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08DF186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bookmarkStart w:id="0" w:name="OLE_LINK1"/>
      <w:r>
        <w:rPr>
          <w:rFonts w:hint="eastAsia" w:ascii="方正小标宋_GBK" w:hAnsi="方正小标宋_GBK" w:eastAsia="方正小标宋_GBK" w:cs="方正小标宋_GBK"/>
          <w:sz w:val="44"/>
          <w:szCs w:val="44"/>
          <w:shd w:val="clear" w:color="auto" w:fill="FFFFFF"/>
        </w:rPr>
        <w:t>沥青拌合站项目环境影响报告表的批复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27</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西双版纳雄彦建设工程有限责任公司：</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丽江骏天环保科技有限公司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沥青拌合站项目环境影响报告表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2019-532801-30-03- 035941</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云南省西双版纳傣族自治州景洪市街道办曼外办事处</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6666.7m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项目总建筑面积1000m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eastAsia" w:ascii="Times New Roman" w:hAnsi="Times New Roman" w:eastAsia="方正仿宋_GBK" w:cs="Times New Roman"/>
          <w:color w:val="auto"/>
          <w:kern w:val="0"/>
          <w:sz w:val="32"/>
          <w:szCs w:val="32"/>
          <w:shd w:val="clear" w:color="auto" w:fill="FFFFFF"/>
          <w:lang w:val="en-US" w:eastAsia="zh-CN" w:bidi="ar"/>
        </w:rPr>
        <w:t>，主要建设原料堆场、沥青混凝土生产线、微机控制室、骨料堆场、骨料堆放仓、储罐工程、办公生活区等。</w:t>
      </w:r>
      <w:r>
        <w:rPr>
          <w:rFonts w:hint="default" w:ascii="Times New Roman" w:hAnsi="Times New Roman" w:eastAsia="方正仿宋_GBK" w:cs="Times New Roman"/>
          <w:color w:val="auto"/>
          <w:kern w:val="0"/>
          <w:sz w:val="32"/>
          <w:szCs w:val="32"/>
          <w:shd w:val="clear" w:color="auto" w:fill="FFFFFF"/>
          <w:lang w:val="en-US" w:eastAsia="zh-CN" w:bidi="ar"/>
        </w:rPr>
        <w:t>总投资150万元，环保投资46.1万元，</w:t>
      </w:r>
      <w:bookmarkStart w:id="1" w:name="_GoBack"/>
      <w:bookmarkEnd w:id="1"/>
      <w:r>
        <w:rPr>
          <w:rFonts w:hint="default" w:ascii="Times New Roman" w:hAnsi="Times New Roman" w:eastAsia="方正仿宋_GBK" w:cs="Times New Roman"/>
          <w:color w:val="auto"/>
          <w:kern w:val="0"/>
          <w:sz w:val="32"/>
          <w:szCs w:val="32"/>
          <w:shd w:val="clear" w:color="auto" w:fill="FFFFFF"/>
          <w:lang w:val="en-US" w:eastAsia="zh-CN" w:bidi="ar"/>
        </w:rPr>
        <w:t>环保投资占总投资的30.73%。</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2AD2FECF">
      <w:pPr>
        <w:numPr>
          <w:ilvl w:val="0"/>
          <w:numId w:val="2"/>
        </w:numPr>
        <w:spacing w:line="560" w:lineRule="exact"/>
        <w:ind w:firstLine="640" w:firstLineChars="200"/>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。项目共设置4个排气筒</w:t>
      </w:r>
      <w:r>
        <w:rPr>
          <w:rFonts w:hint="eastAsia" w:ascii="Times New Roman" w:hAnsi="Times New Roman" w:eastAsia="方正仿宋_GBK" w:cs="Times New Roman"/>
          <w:color w:val="auto"/>
          <w:kern w:val="2"/>
          <w:sz w:val="32"/>
          <w:szCs w:val="32"/>
          <w:lang w:val="en-US" w:eastAsia="zh-CN" w:bidi="ar-SA"/>
        </w:rPr>
        <w:t>，砂石料烘干、筛分产生的粉尘，与烘干燃烧废气一同进入布袋除尘器(除尘效率99%)处理后通过1根15m高的排气筒（DA001）排放，满足《大气污染物综合排放标准》（GB16297-1996）相关要求；导热油锅炉废气收集进入1套湿式除尘器（重力水喷雾）处理后通过1根15m高的排气筒（DA002）排放，满足《锅炉大气污染物排放标准》（GB13271-2014）相关要求；沥青废气通过3个沥青罐呼吸口设置密闭引风管收集，搅拌楼出料口废气设置集气罩收集，收集的废气采用“喷淋塔+冷凝+电扑焦油器+活性炭吸附”处理装置处理后经1根15m高排气筒排放（DA003）；矿粉筒仓粉尘经布袋除尘器处理后由筒仓顶部15m高排气口（DA004）排放，处理后须满足《大气污染物综合排放标准》（GB16297-1996）相关要求。料场密闭并进行洒水抑尘；物料输送过程中采用全封闭皮带机输送，落料口设软帘防止粉尘大范围扩散；厂区定期进行洒水降尘。</w:t>
      </w:r>
    </w:p>
    <w:p w14:paraId="03045E71">
      <w:pPr>
        <w:pStyle w:val="3"/>
        <w:keepNext w:val="0"/>
        <w:keepLines w:val="0"/>
        <w:pageBreakBefore w:val="0"/>
        <w:widowControl/>
        <w:numPr>
          <w:ilvl w:val="0"/>
          <w:numId w:val="2"/>
        </w:numPr>
        <w:kinsoku/>
        <w:wordWrap/>
        <w:overflowPunct/>
        <w:topLinePunct w:val="0"/>
        <w:autoSpaceDE/>
        <w:autoSpaceDN/>
        <w:bidi w:val="0"/>
        <w:adjustRightInd/>
        <w:spacing w:before="0" w:after="0" w:line="560" w:lineRule="exact"/>
        <w:ind w:left="0" w:leftChars="0" w:right="118"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项目采取</w:t>
      </w:r>
      <w:r>
        <w:rPr>
          <w:rFonts w:hint="default" w:ascii="Times New Roman" w:hAnsi="Times New Roman" w:eastAsia="方正仿宋_GBK" w:cs="Times New Roman"/>
          <w:color w:val="auto"/>
          <w:sz w:val="32"/>
          <w:szCs w:val="32"/>
        </w:rPr>
        <w:t>雨污分流措施，初期雨水收集排入初期雨水收集池处理后回用于厂区洒水降尘，不外排；食堂废水经隔油池预处理后同其他生活污水一起经化粪池处理后委托周边农户定期清掏用作农肥，不外排；喷淋塔及湿式除尘器定排废水用于场地洒水降尘，不外排。</w:t>
      </w:r>
    </w:p>
    <w:p w14:paraId="63E6CBA9">
      <w:pPr>
        <w:pStyle w:val="3"/>
        <w:keepNext w:val="0"/>
        <w:keepLines w:val="0"/>
        <w:pageBreakBefore w:val="0"/>
        <w:widowControl/>
        <w:numPr>
          <w:ilvl w:val="0"/>
          <w:numId w:val="2"/>
        </w:numPr>
        <w:kinsoku/>
        <w:wordWrap/>
        <w:overflowPunct/>
        <w:topLinePunct w:val="0"/>
        <w:autoSpaceDE/>
        <w:autoSpaceDN/>
        <w:bidi w:val="0"/>
        <w:adjustRightInd/>
        <w:spacing w:before="0" w:after="0" w:line="560" w:lineRule="exact"/>
        <w:ind w:left="0" w:leftChars="0" w:right="118"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w:t>
      </w:r>
      <w:r>
        <w:rPr>
          <w:rFonts w:hint="eastAsia" w:ascii="Times New Roman" w:hAnsi="Times New Roman" w:eastAsia="方正仿宋_GBK" w:cs="Times New Roman"/>
          <w:color w:val="auto"/>
          <w:kern w:val="0"/>
          <w:sz w:val="32"/>
          <w:szCs w:val="32"/>
          <w:shd w:val="clear" w:color="auto" w:fill="FFFFFF"/>
          <w:lang w:val="en-US" w:eastAsia="zh-CN" w:bidi="ar"/>
        </w:rPr>
        <w:t>项目产生的固体废物包括一般工业固体废物、危险废物和生活垃圾。</w:t>
      </w:r>
      <w:r>
        <w:rPr>
          <w:rFonts w:hint="eastAsia" w:ascii="Times New Roman" w:hAnsi="Times New Roman" w:eastAsia="方正仿宋_GBK" w:cs="Times New Roman"/>
          <w:color w:val="auto"/>
          <w:kern w:val="0"/>
          <w:sz w:val="32"/>
          <w:szCs w:val="32"/>
          <w:shd w:val="clear" w:color="auto" w:fill="FFFFFF"/>
          <w:lang w:bidi="ar"/>
        </w:rPr>
        <w:t>不合格的骨料外售砂石料供应商；布袋收尘收集的粉尘返回生产线做原料使用；少量初期雨水池沉渣定期清掏后外售砂石料场；少量湿式除尘沉淀池污泥定期清掏返回生产工艺作为原料；废活性炭</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废机油、废焦油、喷淋塔沉淀池污泥分类收集后暂存于危废暂存间</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后委托有资质单位清运处置，危废暂存间按照《危险废物贮存污染控制标准》</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GB18597-2023</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相关要求建设；运维产生的导热油5年更换</w:t>
      </w:r>
      <w:r>
        <w:rPr>
          <w:rFonts w:hint="eastAsia" w:ascii="Times New Roman" w:hAnsi="Times New Roman" w:eastAsia="方正仿宋_GBK" w:cs="Times New Roman"/>
          <w:color w:val="auto"/>
          <w:kern w:val="0"/>
          <w:sz w:val="32"/>
          <w:szCs w:val="32"/>
          <w:shd w:val="clear" w:color="auto" w:fill="FFFFFF"/>
          <w:lang w:val="en-US" w:eastAsia="zh-CN" w:bidi="ar"/>
        </w:rPr>
        <w:t>1</w:t>
      </w:r>
      <w:r>
        <w:rPr>
          <w:rFonts w:hint="eastAsia" w:ascii="Times New Roman" w:hAnsi="Times New Roman" w:eastAsia="方正仿宋_GBK" w:cs="Times New Roman"/>
          <w:color w:val="auto"/>
          <w:kern w:val="0"/>
          <w:sz w:val="32"/>
          <w:szCs w:val="32"/>
          <w:shd w:val="clear" w:color="auto" w:fill="FFFFFF"/>
          <w:lang w:bidi="ar"/>
        </w:rPr>
        <w:t>次，由厂家当场回收处置；生活垃圾统一由环卫部门定期清运处理；少量化粪池污泥委托周边农户定期清掏用作农肥；少量隔油池油污委托回收单位定期回收处理。</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加强设备维护、厂房墙体隔声、距离衰减等，夜间不进行生产。项目区东侧厂界噪声</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满足《工业企业厂界环境噪声排放标准》</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GB12348-2008</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相关要求。</w:t>
      </w:r>
    </w:p>
    <w:p w14:paraId="54AEA5EF">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落实土壤和地下水污染防治措施。采取源头防控，分区防渗。危废暂存间、沥青罐区、柴油储罐区、事故池为重点防渗区，其中新建危废暂存间按照《危险废物贮存污染控制标准》（GB18597-2023）要求建设；新建事故池按照重点防渗进行处理；化粪池、隔油池、初期雨水池为一般防渗区；其他区域为简单防渗区。项目区下游设置一个跟踪监测井，监控地下水水质；同时加强管理，防止跑冒滴漏。</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color w:val="auto"/>
          <w:kern w:val="0"/>
          <w:sz w:val="32"/>
          <w:szCs w:val="32"/>
          <w:shd w:val="clear" w:color="auto" w:fill="FFFFFF"/>
          <w:lang w:val="en-US" w:eastAsia="zh-CN" w:bidi="ar"/>
        </w:rPr>
        <w:t>风险</w:t>
      </w:r>
      <w:r>
        <w:rPr>
          <w:rFonts w:hint="eastAsia" w:ascii="Times New Roman" w:hAnsi="Times New Roman" w:eastAsia="方正仿宋_GBK" w:cs="Times New Roman"/>
          <w:color w:val="auto"/>
          <w:kern w:val="0"/>
          <w:sz w:val="32"/>
          <w:szCs w:val="32"/>
          <w:shd w:val="clear" w:color="auto" w:fill="FFFFFF"/>
          <w:lang w:bidi="ar"/>
        </w:rPr>
        <w:t>事故池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50m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18</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CF80C2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DD3E87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B9328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6D24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66CE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0996D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B94B19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03F156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59D1D3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抄送：景洪市自然资源局，景洪市工业和信息化局，景洪市应急管理局，允景洪街道办事处，云南省环境科学学会，丽江骏天环保科技有限公司。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default" w:ascii="Times New Roman" w:hAnsi="Times New Roman" w:eastAsia="方正仿宋_GBK" w:cs="Times New Roman"/>
                <w:snapToGrid w:val="0"/>
                <w:color w:val="000000"/>
                <w:spacing w:val="-43"/>
                <w:kern w:val="0"/>
                <w:sz w:val="28"/>
                <w:szCs w:val="28"/>
                <w:lang w:val="en-US" w:eastAsia="zh-CN"/>
              </w:rPr>
              <w:t>4</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1"/>
                <w:kern w:val="0"/>
                <w:sz w:val="28"/>
                <w:szCs w:val="28"/>
                <w:lang w:val="en-US" w:eastAsia="zh-CN"/>
              </w:rPr>
              <w:t>18</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092313"/>
    <w:multiLevelType w:val="singleLevel"/>
    <w:tmpl w:val="A4092313"/>
    <w:lvl w:ilvl="0" w:tentative="0">
      <w:start w:val="1"/>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5E4367"/>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C22962"/>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2341E3"/>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671049"/>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0E42B1"/>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EEE6CF8"/>
    <w:rsid w:val="2F394E83"/>
    <w:rsid w:val="2F6F1AD9"/>
    <w:rsid w:val="2FB14F22"/>
    <w:rsid w:val="2FB6684A"/>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AD13F0"/>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A86032"/>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EA7D5A"/>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007039"/>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2495</Words>
  <Characters>2651</Characters>
  <Lines>17</Lines>
  <Paragraphs>4</Paragraphs>
  <TotalTime>18</TotalTime>
  <ScaleCrop>false</ScaleCrop>
  <LinksUpToDate>false</LinksUpToDate>
  <CharactersWithSpaces>2676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2025-04-18T06:41:04Z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eyJoZGlkIjoiNDMxNDYxODVjZDJiYTYxMzBiMzRiYjE3OTI0MmM2YmUiLCJ1c2VySWQiOiI0NDMyMzEyMTEifQ==</vt:lpwstr>
  </property>
</Properties>
</file>