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4C00D">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r>
        <w:rPr>
          <w:rFonts w:hint="eastAsia" w:ascii="方正小标宋_GBK" w:hAnsi="方正小标宋_GBK" w:eastAsia="方正小标宋_GBK" w:cs="方正小标宋_GBK"/>
          <w:sz w:val="44"/>
          <w:szCs w:val="44"/>
          <w:shd w:val="clear" w:color="auto" w:fill="FFFFFF"/>
        </w:rPr>
        <w:t>废石料、石渣再利用加工建筑砂建设项目</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42</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45A202F8">
      <w:pPr>
        <w:keepNext w:val="0"/>
        <w:keepLines w:val="0"/>
        <w:pageBreakBefore w:val="0"/>
        <w:widowControl/>
        <w:shd w:val="clear" w:color="auto" w:fill="FFFFFF"/>
        <w:kinsoku/>
        <w:wordWrap/>
        <w:overflowPunct/>
        <w:topLinePunct w:val="0"/>
        <w:autoSpaceDE/>
        <w:autoSpaceDN/>
        <w:bidi w:val="0"/>
        <w:adjustRightInd/>
        <w:spacing w:line="540" w:lineRule="exact"/>
        <w:jc w:val="both"/>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bidi="ar"/>
        </w:rPr>
        <w:t>西双版纳富源商贸有限公司</w:t>
      </w:r>
      <w:r>
        <w:rPr>
          <w:rFonts w:hint="eastAsia" w:ascii="Times New Roman" w:hAnsi="Times New Roman" w:eastAsia="方正仿宋_GBK" w:cs="Times New Roman"/>
          <w:color w:val="auto"/>
          <w:kern w:val="0"/>
          <w:sz w:val="32"/>
          <w:szCs w:val="32"/>
          <w:shd w:val="clear" w:color="auto" w:fill="FFFFFF"/>
          <w:lang w:eastAsia="zh-CN" w:bidi="ar"/>
        </w:rPr>
        <w:t>：</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云南洵川工程设计有限公司编制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废石料、石渣再利用加工建筑砂建设项目环境影响报告表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2203-532801-04-01-888759</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云南省西双版纳州景洪市勐龙镇曼栋村民委员会曼纳村小组</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6915m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eastAsia" w:ascii="Times New Roman" w:hAnsi="Times New Roman" w:eastAsia="方正仿宋_GBK" w:cs="Times New Roman"/>
          <w:color w:val="auto"/>
          <w:kern w:val="0"/>
          <w:sz w:val="32"/>
          <w:szCs w:val="32"/>
          <w:shd w:val="clear" w:color="auto" w:fill="FFFFFF"/>
          <w:lang w:val="en-US" w:eastAsia="zh-CN" w:bidi="ar"/>
        </w:rPr>
        <w:t>。项目主要建设一条年产6万立方米建筑砂生产线，项目包括主体工程、公用工程、辅助工程、环保工程，安装洗砂设备、制砂机、环保设备、压泥机、废水回用系统等相关设备。</w:t>
      </w:r>
      <w:r>
        <w:rPr>
          <w:rFonts w:hint="default" w:ascii="Times New Roman" w:hAnsi="Times New Roman" w:eastAsia="方正仿宋_GBK" w:cs="Times New Roman"/>
          <w:color w:val="auto"/>
          <w:kern w:val="0"/>
          <w:sz w:val="32"/>
          <w:szCs w:val="32"/>
          <w:shd w:val="clear" w:color="auto" w:fill="FFFFFF"/>
          <w:lang w:val="en-US" w:eastAsia="zh-CN" w:bidi="ar"/>
        </w:rPr>
        <w:t>总投资300万元，环保投资为21万元，占项目总投资7%。</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3067641">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2"/>
          <w:sz w:val="32"/>
          <w:szCs w:val="32"/>
          <w:shd w:val="clear" w:color="auto" w:fill="FFFFFF"/>
          <w:lang w:val="en-US" w:eastAsia="zh-CN" w:bidi="ar-SA"/>
        </w:rPr>
      </w:pPr>
      <w:r>
        <w:rPr>
          <w:rFonts w:hint="eastAsia" w:ascii="Times New Roman" w:hAnsi="Times New Roman" w:eastAsia="方正仿宋_GBK" w:cs="Times New Roman"/>
          <w:color w:val="auto"/>
          <w:kern w:val="2"/>
          <w:sz w:val="32"/>
          <w:szCs w:val="32"/>
          <w:lang w:val="en-US" w:eastAsia="zh-CN" w:bidi="ar-SA"/>
        </w:rPr>
        <w:t>落实施工期</w:t>
      </w:r>
      <w:r>
        <w:rPr>
          <w:rFonts w:hint="default" w:ascii="Times New Roman" w:hAnsi="Times New Roman" w:eastAsia="方正仿宋_GBK" w:cs="Times New Roman"/>
          <w:color w:val="auto"/>
          <w:kern w:val="2"/>
          <w:sz w:val="32"/>
          <w:szCs w:val="32"/>
          <w:lang w:val="en-US" w:eastAsia="zh-CN" w:bidi="ar-SA"/>
        </w:rPr>
        <w:t>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olor w:val="auto"/>
          <w:sz w:val="32"/>
          <w:szCs w:val="32"/>
          <w:highlight w:val="none"/>
          <w:lang w:val="en-US" w:eastAsia="zh-CN"/>
        </w:rPr>
        <w:t>施工现场对物料进行遮盖，少量施工废水经现有沉淀池收集后回用于生产；施工期合理安排施工时间，选用低噪音、振动的各类施工机械设备，并带有消声和隔音的附属设备；施工期产生的土石方产生量较少，开挖后回填厂区空地；建筑垃圾能够回收利用的进行回收利用，不能回收利用的运至政府部门指定地点妥善处置；生活垃圾经垃圾桶收集后，送至曼纳村生活垃圾集中收集点，最终由环卫部门统一清运处置。</w:t>
      </w:r>
    </w:p>
    <w:p w14:paraId="319D3810">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原料堆场和成品堆场设置四面围挡加顶棚，采取喷雾降尘措施；投料口设置一套喷淋降尘设施；采取保持场地、路面清洁和洒水降尘等措施后无组织粉尘排放的厂界颗粒物达《大气污染物综合排放标准》（GB16297-1996）相关要求。</w:t>
      </w:r>
    </w:p>
    <w:p w14:paraId="402D2DA0">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w:t>
      </w:r>
      <w:r>
        <w:rPr>
          <w:rFonts w:hint="eastAsia" w:ascii="Times New Roman" w:hAnsi="Times New Roman" w:eastAsia="方正仿宋_GBK" w:cs="Times New Roman"/>
          <w:color w:val="auto"/>
          <w:sz w:val="32"/>
          <w:szCs w:val="32"/>
          <w:lang w:val="en-US" w:eastAsia="zh-CN"/>
        </w:rPr>
        <w:t>项目运营期废水主要为生产废水、洗沙废水和初期雨水。洗沙废水、原料沥水经原料堆场四周的导流沟收集后一起进入项目地块西侧的沉淀池，沉淀后全部回用于生产，不外排；设置截流沟将初期雨水收集排入初期雨水收集池内，将收集的初期雨水回用于洒水降尘。项目无废水外排。</w:t>
      </w:r>
    </w:p>
    <w:p w14:paraId="3E0305E3">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加强固体废物综合利用和规范处置。项目产生的固体废物包括一般工业固体废物、危险废物和生活垃圾</w:t>
      </w:r>
      <w:r>
        <w:rPr>
          <w:rFonts w:hint="eastAsia" w:ascii="Times New Roman" w:hAnsi="Times New Roman" w:eastAsia="方正仿宋_GBK" w:cs="Times New Roman"/>
          <w:color w:val="auto"/>
          <w:kern w:val="0"/>
          <w:sz w:val="32"/>
          <w:szCs w:val="32"/>
          <w:shd w:val="clear" w:color="auto" w:fill="FFFFFF"/>
          <w:lang w:eastAsia="zh-CN" w:bidi="ar"/>
        </w:rPr>
        <w:t>。沉淀池泥沙收集后经压泥机压成饼后交由</w:t>
      </w:r>
      <w:r>
        <w:rPr>
          <w:rFonts w:hint="eastAsia" w:ascii="Times New Roman" w:hAnsi="Times New Roman" w:eastAsia="方正仿宋_GBK" w:cs="Times New Roman"/>
          <w:color w:val="auto"/>
          <w:kern w:val="0"/>
          <w:sz w:val="32"/>
          <w:szCs w:val="32"/>
          <w:shd w:val="clear" w:color="auto" w:fill="FFFFFF"/>
          <w:lang w:val="en-US" w:eastAsia="zh-CN" w:bidi="ar"/>
        </w:rPr>
        <w:t>当地</w:t>
      </w:r>
      <w:r>
        <w:rPr>
          <w:rFonts w:hint="eastAsia" w:ascii="Times New Roman" w:hAnsi="Times New Roman" w:eastAsia="方正仿宋_GBK" w:cs="Times New Roman"/>
          <w:color w:val="auto"/>
          <w:kern w:val="0"/>
          <w:sz w:val="32"/>
          <w:szCs w:val="32"/>
          <w:shd w:val="clear" w:color="auto" w:fill="FFFFFF"/>
          <w:lang w:eastAsia="zh-CN" w:bidi="ar"/>
        </w:rPr>
        <w:t>村小组用于滩涂地改良；废机油、废含油抹布及手套经危废收集桶收集后暂存于危险废物暂存间，并委托有资质的单位进行清运处置；生活垃圾使用生活垃圾收集桶统一收集，自行清运至周边生活垃圾收集点，由当地环卫部门定期清运、处置。</w:t>
      </w:r>
    </w:p>
    <w:p w14:paraId="35C8F3A4">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项目建设时选用噪声低、振动小的生产设备，洗筛一体机、制砂机等设备安装减振垫；生产过程中采取安装减振垫，加强设备维护保养、运输车辆限速限载等，且夜间不进行生产。</w:t>
      </w:r>
    </w:p>
    <w:p w14:paraId="04AA688E">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hint="eastAsia" w:ascii="Times New Roman" w:hAnsi="Times New Roman" w:eastAsia="方正仿宋_GBK" w:cs="Times New Roman"/>
          <w:color w:val="auto"/>
          <w:kern w:val="0"/>
          <w:sz w:val="32"/>
          <w:szCs w:val="32"/>
          <w:shd w:val="clear" w:color="auto" w:fill="FFFFFF"/>
          <w:lang w:bidi="ar"/>
        </w:rPr>
        <w:t>土壤和地下水</w:t>
      </w:r>
      <w:r>
        <w:rPr>
          <w:rFonts w:hint="eastAsia" w:ascii="Times New Roman" w:hAnsi="Times New Roman" w:eastAsia="方正仿宋_GBK" w:cs="Times New Roman"/>
          <w:color w:val="auto"/>
          <w:kern w:val="0"/>
          <w:sz w:val="32"/>
          <w:szCs w:val="32"/>
          <w:shd w:val="clear" w:color="auto" w:fill="FFFFFF"/>
          <w:lang w:val="en-US" w:eastAsia="zh-CN" w:bidi="ar"/>
        </w:rPr>
        <w:t>防治措施。采取源头防控措施，分区防渗。危废暂存间地面及裙角按照《危险废物贮存污染控制标准》（GB18597-2023）中重点防渗区的防渗要求进行防渗；沉淀池、事故池和雨水收集池按一般防渗区要求进行防渗；道路区、生产区、原料堆场和成品堆场等进行水泥硬化处理。</w:t>
      </w:r>
    </w:p>
    <w:p w14:paraId="523273C8">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ageBreakBefore w:val="0"/>
        <w:numPr>
          <w:ilvl w:val="0"/>
          <w:numId w:val="2"/>
        </w:numPr>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严格执行环保设施与主体工程同时设计、同时施工、同时投入运行的“三同时”制度。验收合格后主体工程方可投入使用，并及时将验收材料整理归档，接受生态环境主管部门的监督性检查。</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w:t>
      </w:r>
      <w:bookmarkStart w:id="1" w:name="_GoBack"/>
      <w:bookmarkEnd w:id="1"/>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w:t>
      </w:r>
      <w:r>
        <w:rPr>
          <w:rFonts w:hint="eastAsia" w:ascii="Times New Roman" w:hAnsi="Times New Roman" w:eastAsia="方正仿宋_GBK" w:cs="Times New Roman"/>
          <w:color w:val="auto"/>
          <w:kern w:val="0"/>
          <w:sz w:val="32"/>
          <w:szCs w:val="32"/>
          <w:shd w:val="clear" w:color="auto" w:fill="FFFFFF"/>
          <w:lang w:val="en-US" w:eastAsia="zh-CN" w:bidi="ar"/>
        </w:rPr>
        <w:t>采用的生产工艺或者防治污染、防止生态破坏的措施发生重大变动的，应当依法重新报批</w:t>
      </w:r>
      <w:r>
        <w:rPr>
          <w:rFonts w:ascii="Times New Roman" w:hAnsi="Times New Roman" w:eastAsia="方正仿宋_GBK" w:cs="Times New Roman"/>
          <w:color w:val="auto"/>
          <w:kern w:val="0"/>
          <w:sz w:val="32"/>
          <w:szCs w:val="32"/>
          <w:shd w:val="clear" w:color="auto" w:fill="FFFFFF"/>
          <w:lang w:bidi="ar"/>
        </w:rPr>
        <w:t>。自批准之日起</w:t>
      </w:r>
      <w:r>
        <w:rPr>
          <w:rFonts w:hint="eastAsia" w:ascii="Times New Roman" w:hAnsi="Times New Roman" w:eastAsia="方正仿宋_GBK" w:cs="Times New Roman"/>
          <w:color w:val="auto"/>
          <w:kern w:val="0"/>
          <w:sz w:val="32"/>
          <w:szCs w:val="32"/>
          <w:shd w:val="clear" w:color="auto" w:fill="FFFFFF"/>
          <w:lang w:eastAsia="zh-CN" w:bidi="ar"/>
        </w:rPr>
        <w:t>，</w:t>
      </w:r>
      <w:r>
        <w:rPr>
          <w:rFonts w:ascii="Times New Roman" w:hAnsi="Times New Roman" w:eastAsia="方正仿宋_GBK" w:cs="Times New Roman"/>
          <w:color w:val="auto"/>
          <w:kern w:val="0"/>
          <w:sz w:val="32"/>
          <w:szCs w:val="32"/>
          <w:shd w:val="clear" w:color="auto" w:fill="FFFFFF"/>
          <w:lang w:bidi="ar"/>
        </w:rPr>
        <w:t>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7D811031">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7</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18</w:t>
      </w:r>
      <w:r>
        <w:rPr>
          <w:rFonts w:hint="eastAsia" w:ascii="Times New Roman" w:hAnsi="Times New Roman" w:eastAsia="方正仿宋_GBK" w:cs="Times New Roman"/>
          <w:kern w:val="0"/>
          <w:sz w:val="32"/>
          <w:szCs w:val="32"/>
          <w:shd w:val="clear" w:color="auto" w:fill="FFFFFF"/>
          <w:lang w:bidi="ar"/>
        </w:rPr>
        <w:t>日</w:t>
      </w:r>
    </w:p>
    <w:p w14:paraId="52129C89">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6527A92B">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06A5C743">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052B805E">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4565FFBB">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095DA4D3">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547453BD">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4FF065C2">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53561303">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6FDB608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5FF348C0">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53D4A2C9">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p>
    <w:p w14:paraId="3948B31A">
      <w:pPr>
        <w:widowControl/>
        <w:shd w:val="clear" w:color="auto" w:fill="FFFFFF"/>
        <w:spacing w:line="600" w:lineRule="exact"/>
        <w:ind w:left="4791" w:leftChars="1672" w:hanging="1280" w:hangingChars="400"/>
        <w:jc w:val="left"/>
        <w:rPr>
          <w:rFonts w:hint="default" w:ascii="Times New Roman" w:hAnsi="Times New Roman" w:eastAsia="方正仿宋_GBK" w:cs="Times New Roman"/>
          <w:kern w:val="0"/>
          <w:sz w:val="32"/>
          <w:szCs w:val="32"/>
          <w:shd w:val="clear" w:color="auto" w:fill="FFFFFF"/>
          <w:lang w:val="en-US" w:eastAsia="zh-CN" w:bidi="ar"/>
        </w:rPr>
      </w:pPr>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抄送：景洪市发展改革局，景洪市自然资源局，勐龙镇人民政府，云南省环境科学学会，云南洵川工程设计有限公司。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eastAsia" w:ascii="Times New Roman" w:hAnsi="Times New Roman" w:eastAsia="方正仿宋_GBK" w:cs="Times New Roman"/>
                <w:snapToGrid w:val="0"/>
                <w:color w:val="000000"/>
                <w:spacing w:val="-43"/>
                <w:kern w:val="0"/>
                <w:sz w:val="28"/>
                <w:szCs w:val="28"/>
                <w:lang w:val="en-US" w:eastAsia="zh-CN"/>
              </w:rPr>
              <w:t>7月18日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F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A2012"/>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E326A"/>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8373B0"/>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197F77"/>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C5F21"/>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0B151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1573"/>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5030EA"/>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41E8F"/>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9A3DA5"/>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2F13BD"/>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2219</Words>
  <Characters>2347</Characters>
  <Lines>17</Lines>
  <Paragraphs>4</Paragraphs>
  <TotalTime>10</TotalTime>
  <ScaleCrop>false</ScaleCrop>
  <LinksUpToDate>false</LinksUpToDate>
  <CharactersWithSpaces>2371</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2025-07-17T10:20:07Z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823111AAEAAA47258A1D119DEFBEBEEA_13</vt:lpwstr>
  </property>
  <property fmtid="{D5CDD505-2E9C-101B-9397-08002B2CF9AE}" pid="4" name="KSOTemplateDocerSaveRecord">
    <vt:lpwstr>eyJoZGlkIjoiZDFlY2E3ZDk5YmIwNTI1MjQwMDIwODNhNTVjZTU1OTIiLCJ1c2VySWQiOiIzMDA5MzEwODUifQ==</vt:lpwstr>
  </property>
</Properties>
</file>