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5FF40">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b w:val="0"/>
          <w:bCs w:val="0"/>
          <w:sz w:val="40"/>
          <w:szCs w:val="48"/>
        </w:rPr>
      </w:pPr>
    </w:p>
    <w:p w14:paraId="2FB08B33">
      <w:pPr>
        <w:keepNext w:val="0"/>
        <w:keepLines w:val="0"/>
        <w:pageBreakBefore w:val="0"/>
        <w:kinsoku/>
        <w:wordWrap/>
        <w:overflowPunct/>
        <w:topLinePunct w:val="0"/>
        <w:autoSpaceDE/>
        <w:autoSpaceDN/>
        <w:bidi w:val="0"/>
        <w:spacing w:line="600" w:lineRule="exact"/>
        <w:jc w:val="center"/>
        <w:rPr>
          <w:rFonts w:hint="eastAsia" w:ascii="Times New Roman" w:hAnsi="Times New Roman" w:eastAsia="方正小标宋_GBK" w:cs="Times New Roman"/>
          <w:b w:val="0"/>
          <w:bCs w:val="0"/>
          <w:sz w:val="44"/>
          <w:szCs w:val="44"/>
          <w:lang w:eastAsia="zh-CN"/>
        </w:rPr>
      </w:pPr>
      <w:r>
        <w:rPr>
          <w:rFonts w:hint="eastAsia" w:ascii="Times New Roman" w:hAnsi="Times New Roman" w:eastAsia="方正小标宋_GBK" w:cs="Times New Roman"/>
          <w:b w:val="0"/>
          <w:bCs w:val="0"/>
          <w:sz w:val="44"/>
          <w:szCs w:val="44"/>
          <w:lang w:eastAsia="zh-CN"/>
        </w:rPr>
        <w:t>景洪市松材线虫病疫情防控</w:t>
      </w:r>
    </w:p>
    <w:p w14:paraId="242C33FC">
      <w:pPr>
        <w:keepNext w:val="0"/>
        <w:keepLines w:val="0"/>
        <w:pageBreakBefore w:val="0"/>
        <w:kinsoku/>
        <w:wordWrap/>
        <w:overflowPunct/>
        <w:topLinePunct w:val="0"/>
        <w:autoSpaceDE/>
        <w:autoSpaceDN/>
        <w:bidi w:val="0"/>
        <w:spacing w:line="600" w:lineRule="exact"/>
        <w:jc w:val="center"/>
        <w:rPr>
          <w:rFonts w:hint="eastAsia" w:ascii="Times New Roman" w:hAnsi="Times New Roman" w:eastAsia="方正小标宋_GBK" w:cs="Times New Roman"/>
          <w:b w:val="0"/>
          <w:bCs w:val="0"/>
          <w:sz w:val="44"/>
          <w:szCs w:val="44"/>
          <w:lang w:eastAsia="zh-CN"/>
        </w:rPr>
      </w:pPr>
      <w:r>
        <w:rPr>
          <w:rFonts w:hint="eastAsia" w:ascii="Times New Roman" w:hAnsi="Times New Roman" w:eastAsia="方正小标宋_GBK" w:cs="Times New Roman"/>
          <w:b w:val="0"/>
          <w:bCs w:val="0"/>
          <w:sz w:val="44"/>
          <w:szCs w:val="44"/>
          <w:lang w:eastAsia="zh-CN"/>
        </w:rPr>
        <w:t>五年攻坚行动方案</w:t>
      </w:r>
    </w:p>
    <w:p w14:paraId="1768879F">
      <w:pPr>
        <w:keepNext w:val="0"/>
        <w:keepLines w:val="0"/>
        <w:pageBreakBefore w:val="0"/>
        <w:kinsoku/>
        <w:wordWrap/>
        <w:overflowPunct/>
        <w:topLinePunct w:val="0"/>
        <w:autoSpaceDE/>
        <w:autoSpaceDN/>
        <w:bidi w:val="0"/>
        <w:spacing w:line="600" w:lineRule="exact"/>
        <w:jc w:val="center"/>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（2021—2025年）</w:t>
      </w:r>
    </w:p>
    <w:p w14:paraId="0B132279">
      <w:pPr>
        <w:keepNext w:val="0"/>
        <w:keepLines w:val="0"/>
        <w:pageBreakBefore w:val="0"/>
        <w:kinsoku/>
        <w:wordWrap/>
        <w:overflowPunct/>
        <w:topLinePunct w:val="0"/>
        <w:autoSpaceDE/>
        <w:autoSpaceDN/>
        <w:bidi w:val="0"/>
        <w:spacing w:line="600" w:lineRule="exact"/>
        <w:jc w:val="center"/>
        <w:rPr>
          <w:rFonts w:hint="eastAsia" w:ascii="Times New Roman" w:hAnsi="Times New Roman" w:eastAsia="方正楷体_GBK" w:cs="Times New Roman"/>
          <w:b w:val="0"/>
          <w:bCs w:val="0"/>
          <w:sz w:val="30"/>
          <w:szCs w:val="30"/>
          <w:lang w:val="en-US" w:eastAsia="zh-CN"/>
        </w:rPr>
      </w:pPr>
    </w:p>
    <w:p w14:paraId="7157E402">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b w:val="0"/>
          <w:bCs w:val="0"/>
          <w:sz w:val="36"/>
          <w:szCs w:val="44"/>
        </w:rPr>
      </w:pPr>
    </w:p>
    <w:p w14:paraId="3BCAFC9A">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54775DA6">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067F79AE">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5CD690E4">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26809DA2">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2B36C528">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18B0E5E9">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73B524CE">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45FB204B">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1F1B3340">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498886BB">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27A7575D">
      <w:pPr>
        <w:keepNext w:val="0"/>
        <w:keepLines w:val="0"/>
        <w:pageBreakBefore w:val="0"/>
        <w:kinsoku/>
        <w:wordWrap/>
        <w:overflowPunct/>
        <w:topLinePunct w:val="0"/>
        <w:autoSpaceDE/>
        <w:autoSpaceDN/>
        <w:bidi w:val="0"/>
        <w:spacing w:line="600" w:lineRule="exact"/>
        <w:jc w:val="center"/>
        <w:rPr>
          <w:rFonts w:ascii="Times New Roman" w:hAnsi="Times New Roman" w:eastAsia="宋体" w:cs="Times New Roman"/>
          <w:sz w:val="36"/>
          <w:szCs w:val="44"/>
        </w:rPr>
      </w:pPr>
    </w:p>
    <w:p w14:paraId="1781E7AD">
      <w:pPr>
        <w:pStyle w:val="10"/>
        <w:keepNext w:val="0"/>
        <w:keepLines w:val="0"/>
        <w:pageBreakBefore w:val="0"/>
        <w:tabs>
          <w:tab w:val="right" w:leader="dot" w:pos="8306"/>
        </w:tabs>
        <w:kinsoku/>
        <w:wordWrap/>
        <w:overflowPunct/>
        <w:topLinePunct w:val="0"/>
        <w:autoSpaceDE/>
        <w:autoSpaceDN/>
        <w:bidi w:val="0"/>
        <w:spacing w:line="600" w:lineRule="exact"/>
        <w:jc w:val="center"/>
        <w:rPr>
          <w:rFonts w:hint="default" w:ascii="Times New Roman" w:hAnsi="Times New Roman" w:eastAsia="方正黑体_GBK" w:cs="Times New Roman"/>
          <w:b w:val="0"/>
          <w:bCs w:val="0"/>
          <w:sz w:val="32"/>
          <w:szCs w:val="40"/>
          <w:lang w:val="en-US" w:eastAsia="zh-CN"/>
        </w:rPr>
      </w:pPr>
      <w:r>
        <w:rPr>
          <w:rFonts w:hint="eastAsia" w:ascii="Times New Roman" w:hAnsi="Times New Roman" w:eastAsia="方正黑体_GBK" w:cs="Times New Roman"/>
          <w:b w:val="0"/>
          <w:bCs w:val="0"/>
          <w:sz w:val="32"/>
          <w:szCs w:val="40"/>
          <w:lang w:val="en-US" w:eastAsia="zh-CN"/>
        </w:rPr>
        <w:t>景洪市人民政府</w:t>
      </w:r>
    </w:p>
    <w:p w14:paraId="63DCA29F"/>
    <w:p w14:paraId="444A997D">
      <w:pPr>
        <w:pStyle w:val="10"/>
        <w:keepNext w:val="0"/>
        <w:keepLines w:val="0"/>
        <w:pageBreakBefore w:val="0"/>
        <w:tabs>
          <w:tab w:val="right" w:leader="dot" w:pos="8306"/>
        </w:tabs>
        <w:kinsoku/>
        <w:wordWrap/>
        <w:overflowPunct/>
        <w:topLinePunct w:val="0"/>
        <w:autoSpaceDE/>
        <w:autoSpaceDN/>
        <w:bidi w:val="0"/>
        <w:spacing w:line="600" w:lineRule="exact"/>
        <w:jc w:val="center"/>
        <w:rPr>
          <w:rFonts w:ascii="Times New Roman" w:hAnsi="Times New Roman" w:eastAsia="方正黑体_GBK" w:cs="Times New Roman"/>
          <w:sz w:val="44"/>
          <w:szCs w:val="44"/>
        </w:rPr>
      </w:pPr>
    </w:p>
    <w:p w14:paraId="461DDC97">
      <w:pPr>
        <w:pStyle w:val="10"/>
        <w:keepNext w:val="0"/>
        <w:keepLines w:val="0"/>
        <w:pageBreakBefore w:val="0"/>
        <w:tabs>
          <w:tab w:val="right" w:leader="dot" w:pos="8306"/>
        </w:tabs>
        <w:kinsoku/>
        <w:wordWrap/>
        <w:overflowPunct/>
        <w:topLinePunct w:val="0"/>
        <w:autoSpaceDE/>
        <w:autoSpaceDN/>
        <w:bidi w:val="0"/>
        <w:spacing w:line="600" w:lineRule="exact"/>
        <w:jc w:val="center"/>
        <w:rPr>
          <w:rFonts w:ascii="Times New Roman" w:hAnsi="Times New Roman" w:eastAsia="方正黑体_GBK" w:cs="Times New Roman"/>
          <w:sz w:val="44"/>
          <w:szCs w:val="44"/>
        </w:rPr>
      </w:pPr>
      <w:r>
        <w:rPr>
          <w:rFonts w:ascii="Times New Roman" w:hAnsi="Times New Roman" w:eastAsia="方正黑体_GBK" w:cs="Times New Roman"/>
          <w:sz w:val="44"/>
          <w:szCs w:val="44"/>
        </w:rPr>
        <w:t>目   录</w:t>
      </w:r>
    </w:p>
    <w:p w14:paraId="16D38A06">
      <w:pPr>
        <w:rPr>
          <w:rFonts w:ascii="Times New Roman" w:hAnsi="Times New Roman" w:eastAsia="方正黑体_GBK" w:cs="Times New Roman"/>
          <w:sz w:val="44"/>
          <w:szCs w:val="44"/>
        </w:rPr>
      </w:pPr>
    </w:p>
    <w:p w14:paraId="66744FEF"/>
    <w:p w14:paraId="5F02C4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_Toc3951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一、总体要求…………………………………………………1</w:t>
      </w:r>
      <w:r>
        <w:rPr>
          <w:rFonts w:hint="eastAsia" w:ascii="Times New Roman" w:hAnsi="Times New Roman" w:eastAsia="方正仿宋_GBK" w:cs="Times New Roman"/>
          <w:sz w:val="32"/>
          <w:szCs w:val="32"/>
          <w:lang w:val="en-US" w:eastAsia="zh-CN"/>
        </w:rPr>
        <w:fldChar w:fldCharType="end"/>
      </w:r>
    </w:p>
    <w:p w14:paraId="360DBAF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_Toc1477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（一）指导思想………………………………………………1</w:t>
      </w:r>
      <w:r>
        <w:rPr>
          <w:rFonts w:hint="eastAsia" w:ascii="Times New Roman" w:hAnsi="Times New Roman" w:eastAsia="方正仿宋_GBK" w:cs="Times New Roman"/>
          <w:sz w:val="32"/>
          <w:szCs w:val="32"/>
          <w:lang w:val="en-US" w:eastAsia="zh-CN"/>
        </w:rPr>
        <w:fldChar w:fldCharType="end"/>
      </w:r>
    </w:p>
    <w:p w14:paraId="78E78CE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_Toc17284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基本原则………………………………………………2</w:t>
      </w:r>
      <w:r>
        <w:rPr>
          <w:rFonts w:hint="eastAsia" w:ascii="Times New Roman" w:hAnsi="Times New Roman" w:eastAsia="方正仿宋_GBK" w:cs="Times New Roman"/>
          <w:sz w:val="32"/>
          <w:szCs w:val="32"/>
          <w:lang w:val="en-US" w:eastAsia="zh-CN"/>
        </w:rPr>
        <w:fldChar w:fldCharType="end"/>
      </w:r>
    </w:p>
    <w:p w14:paraId="0381B72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_Toc20451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二、行动目标…………………………………………………</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PAGEREF _Toc20451 \h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fldChar w:fldCharType="end"/>
      </w:r>
      <w:r>
        <w:rPr>
          <w:rFonts w:hint="eastAsia" w:ascii="Times New Roman" w:hAnsi="Times New Roman" w:eastAsia="方正仿宋_GBK" w:cs="Times New Roman"/>
          <w:sz w:val="32"/>
          <w:szCs w:val="32"/>
          <w:lang w:val="en-US" w:eastAsia="zh-CN"/>
        </w:rPr>
        <w:fldChar w:fldCharType="end"/>
      </w:r>
    </w:p>
    <w:p w14:paraId="7CE7692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_Toc27233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三、行动区划</w:t>
      </w:r>
      <w:bookmarkStart w:id="0" w:name="OLE_LINK5"/>
      <w:r>
        <w:rPr>
          <w:rFonts w:hint="eastAsia" w:ascii="Times New Roman" w:hAnsi="Times New Roman" w:eastAsia="方正仿宋_GBK" w:cs="Times New Roman"/>
          <w:sz w:val="32"/>
          <w:szCs w:val="32"/>
          <w:lang w:val="en-US" w:eastAsia="zh-CN"/>
        </w:rPr>
        <w:t>…………………………………………………</w:t>
      </w:r>
      <w:bookmarkEnd w:id="0"/>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fldChar w:fldCharType="end"/>
      </w:r>
    </w:p>
    <w:p w14:paraId="6DE1899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_Toc21304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四、行动内容…………………………………………………3</w:t>
      </w:r>
      <w:r>
        <w:rPr>
          <w:rFonts w:hint="eastAsia" w:ascii="Times New Roman" w:hAnsi="Times New Roman" w:eastAsia="方正仿宋_GBK" w:cs="Times New Roman"/>
          <w:sz w:val="32"/>
          <w:szCs w:val="32"/>
          <w:lang w:val="en-US" w:eastAsia="zh-CN"/>
        </w:rPr>
        <w:fldChar w:fldCharType="end"/>
      </w:r>
    </w:p>
    <w:p w14:paraId="39E0865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_Toc9573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（一）林业植物检疫执法行动………………………………3</w:t>
      </w:r>
      <w:r>
        <w:rPr>
          <w:rFonts w:hint="eastAsia" w:ascii="Times New Roman" w:hAnsi="Times New Roman" w:eastAsia="方正仿宋_GBK" w:cs="Times New Roman"/>
          <w:sz w:val="32"/>
          <w:szCs w:val="32"/>
          <w:lang w:val="en-US" w:eastAsia="zh-CN"/>
        </w:rPr>
        <w:fldChar w:fldCharType="end"/>
      </w:r>
    </w:p>
    <w:p w14:paraId="3BA992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_Toc27781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（二）疫情精准监测行动……………………………………4</w:t>
      </w:r>
      <w:r>
        <w:rPr>
          <w:rFonts w:hint="eastAsia" w:ascii="Times New Roman" w:hAnsi="Times New Roman" w:eastAsia="方正仿宋_GBK" w:cs="Times New Roman"/>
          <w:sz w:val="32"/>
          <w:szCs w:val="32"/>
          <w:lang w:val="en-US" w:eastAsia="zh-CN"/>
        </w:rPr>
        <w:fldChar w:fldCharType="end"/>
      </w:r>
    </w:p>
    <w:p w14:paraId="1525B0F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（三）</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_Toc23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疫情报告核查行动……………………………………5</w:t>
      </w:r>
      <w:r>
        <w:rPr>
          <w:rFonts w:hint="eastAsia" w:ascii="Times New Roman" w:hAnsi="Times New Roman" w:eastAsia="方正仿宋_GBK" w:cs="Times New Roman"/>
          <w:sz w:val="32"/>
          <w:szCs w:val="32"/>
          <w:lang w:val="en-US" w:eastAsia="zh-CN"/>
        </w:rPr>
        <w:fldChar w:fldCharType="end"/>
      </w:r>
    </w:p>
    <w:p w14:paraId="4ABE335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（四</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_Toc24074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）疫源封锁管控行动……………………………………6</w:t>
      </w:r>
      <w:r>
        <w:rPr>
          <w:rFonts w:hint="eastAsia" w:ascii="Times New Roman" w:hAnsi="Times New Roman" w:eastAsia="方正仿宋_GBK" w:cs="Times New Roman"/>
          <w:sz w:val="32"/>
          <w:szCs w:val="32"/>
          <w:lang w:val="en-US" w:eastAsia="zh-CN"/>
        </w:rPr>
        <w:fldChar w:fldCharType="end"/>
      </w:r>
    </w:p>
    <w:p w14:paraId="3D4710E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（五）</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_Toc391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除治质量提升行动……………………………………7</w:t>
      </w:r>
      <w:r>
        <w:rPr>
          <w:rFonts w:hint="eastAsia" w:ascii="Times New Roman" w:hAnsi="Times New Roman" w:eastAsia="方正仿宋_GBK" w:cs="Times New Roman"/>
          <w:sz w:val="32"/>
          <w:szCs w:val="32"/>
          <w:lang w:val="en-US" w:eastAsia="zh-CN"/>
        </w:rPr>
        <w:fldChar w:fldCharType="end"/>
      </w:r>
    </w:p>
    <w:p w14:paraId="2B9CBD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（六）健康森林保护行动……………………………………8</w:t>
      </w:r>
    </w:p>
    <w:p w14:paraId="51DFBC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_Toc27727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五、行动保障…………………………………………………9</w:t>
      </w:r>
      <w:r>
        <w:rPr>
          <w:rFonts w:hint="eastAsia" w:ascii="Times New Roman" w:hAnsi="Times New Roman" w:eastAsia="方正仿宋_GBK" w:cs="Times New Roman"/>
          <w:sz w:val="32"/>
          <w:szCs w:val="32"/>
          <w:lang w:val="en-US" w:eastAsia="zh-CN"/>
        </w:rPr>
        <w:fldChar w:fldCharType="end"/>
      </w:r>
    </w:p>
    <w:p w14:paraId="1776B2F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（一）</w:t>
      </w:r>
      <w:r>
        <w:rPr>
          <w:rFonts w:hint="eastAsia" w:ascii="Times New Roman" w:hAnsi="Times New Roman" w:eastAsia="方正仿宋_GBK" w:cs="Times New Roman"/>
          <w:sz w:val="32"/>
          <w:szCs w:val="32"/>
          <w:lang w:val="en-US" w:eastAsia="zh-CN"/>
        </w:rPr>
        <w:fldChar w:fldCharType="begin"/>
      </w:r>
      <w:r>
        <w:rPr>
          <w:rFonts w:hint="eastAsia" w:ascii="Times New Roman" w:hAnsi="Times New Roman" w:eastAsia="方正仿宋_GBK" w:cs="Times New Roman"/>
          <w:sz w:val="32"/>
          <w:szCs w:val="32"/>
          <w:lang w:val="en-US" w:eastAsia="zh-CN"/>
        </w:rPr>
        <w:instrText xml:space="preserve"> HYPERLINK \l _Toc9637 </w:instrText>
      </w:r>
      <w:r>
        <w:rPr>
          <w:rFonts w:hint="eastAsia" w:ascii="Times New Roman" w:hAnsi="Times New Roman" w:eastAsia="方正仿宋_GBK" w:cs="Times New Roman"/>
          <w:sz w:val="32"/>
          <w:szCs w:val="32"/>
          <w:lang w:val="en-US" w:eastAsia="zh-CN"/>
        </w:rPr>
        <w:fldChar w:fldCharType="separate"/>
      </w:r>
      <w:r>
        <w:rPr>
          <w:rFonts w:hint="eastAsia" w:ascii="Times New Roman" w:hAnsi="Times New Roman" w:eastAsia="方正仿宋_GBK" w:cs="Times New Roman"/>
          <w:sz w:val="32"/>
          <w:szCs w:val="32"/>
          <w:lang w:val="en-US" w:eastAsia="zh-CN"/>
        </w:rPr>
        <w:t>加强组织保障…………………………………………9</w:t>
      </w:r>
      <w:r>
        <w:rPr>
          <w:rFonts w:hint="eastAsia" w:ascii="Times New Roman" w:hAnsi="Times New Roman" w:eastAsia="方正仿宋_GBK" w:cs="Times New Roman"/>
          <w:sz w:val="32"/>
          <w:szCs w:val="32"/>
          <w:lang w:val="en-US" w:eastAsia="zh-CN"/>
        </w:rPr>
        <w:fldChar w:fldCharType="end"/>
      </w:r>
    </w:p>
    <w:p w14:paraId="28658D2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（二）加大资金投入…………………………………………9</w:t>
      </w:r>
    </w:p>
    <w:p w14:paraId="6D0B04F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（三）强化技术支撑…………………………………………9</w:t>
      </w:r>
    </w:p>
    <w:p w14:paraId="11609B4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（四）加强群防群治…………………………………………9</w:t>
      </w:r>
    </w:p>
    <w:p w14:paraId="6790BAF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p>
    <w:p w14:paraId="134AF04C">
      <w:pPr>
        <w:keepNext w:val="0"/>
        <w:keepLines w:val="0"/>
        <w:pageBreakBefore w:val="0"/>
        <w:kinsoku/>
        <w:wordWrap/>
        <w:overflowPunct/>
        <w:topLinePunct w:val="0"/>
        <w:autoSpaceDE/>
        <w:autoSpaceDN/>
        <w:bidi w:val="0"/>
        <w:spacing w:line="600" w:lineRule="exact"/>
        <w:jc w:val="both"/>
        <w:outlineLvl w:val="0"/>
        <w:rPr>
          <w:rFonts w:hint="eastAsia" w:ascii="Times New Roman" w:hAnsi="Times New Roman" w:eastAsia="方正小标宋_GBK" w:cs="Times New Roman"/>
          <w:b w:val="0"/>
          <w:bCs w:val="0"/>
          <w:sz w:val="44"/>
          <w:szCs w:val="44"/>
          <w:lang w:eastAsia="zh-CN"/>
        </w:rPr>
        <w:sectPr>
          <w:footerReference r:id="rId3" w:type="default"/>
          <w:footerReference r:id="rId4" w:type="even"/>
          <w:footnotePr>
            <w:numFmt w:val="decimal"/>
          </w:footnotePr>
          <w:pgSz w:w="11900" w:h="16840"/>
          <w:pgMar w:top="2098" w:right="1474" w:bottom="1984" w:left="1587" w:header="0" w:footer="3" w:gutter="0"/>
          <w:pgNumType w:fmt="decimal"/>
          <w:cols w:space="720" w:num="1"/>
          <w:rtlGutter w:val="0"/>
          <w:docGrid w:linePitch="360" w:charSpace="0"/>
        </w:sectPr>
      </w:pPr>
    </w:p>
    <w:p w14:paraId="2AD1AE9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b w:val="0"/>
          <w:bCs w:val="0"/>
          <w:sz w:val="44"/>
          <w:szCs w:val="44"/>
          <w:lang w:eastAsia="zh-CN"/>
        </w:rPr>
      </w:pPr>
      <w:r>
        <w:rPr>
          <w:rFonts w:hint="eastAsia" w:ascii="Times New Roman" w:hAnsi="Times New Roman" w:eastAsia="方正小标宋_GBK" w:cs="Times New Roman"/>
          <w:b w:val="0"/>
          <w:bCs w:val="0"/>
          <w:sz w:val="44"/>
          <w:szCs w:val="44"/>
          <w:lang w:eastAsia="zh-CN"/>
        </w:rPr>
        <w:t>景洪市松材线虫病疫情防控</w:t>
      </w:r>
    </w:p>
    <w:p w14:paraId="1CF98E1F">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Times New Roman" w:hAnsi="Times New Roman" w:eastAsia="方正小标宋_GBK" w:cs="Times New Roman"/>
          <w:b w:val="0"/>
          <w:bCs w:val="0"/>
          <w:sz w:val="44"/>
          <w:szCs w:val="44"/>
          <w:lang w:eastAsia="zh-CN"/>
        </w:rPr>
      </w:pPr>
      <w:r>
        <w:rPr>
          <w:rFonts w:hint="eastAsia" w:ascii="Times New Roman" w:hAnsi="Times New Roman" w:eastAsia="方正小标宋_GBK" w:cs="Times New Roman"/>
          <w:b w:val="0"/>
          <w:bCs w:val="0"/>
          <w:sz w:val="44"/>
          <w:szCs w:val="44"/>
          <w:lang w:eastAsia="zh-CN"/>
        </w:rPr>
        <w:t>五年攻坚行动方案</w:t>
      </w:r>
    </w:p>
    <w:p w14:paraId="2A6662CE">
      <w:pPr>
        <w:keepNext w:val="0"/>
        <w:keepLines w:val="0"/>
        <w:pageBreakBefore w:val="0"/>
        <w:kinsoku/>
        <w:wordWrap/>
        <w:overflowPunct/>
        <w:topLinePunct w:val="0"/>
        <w:autoSpaceDE/>
        <w:autoSpaceDN/>
        <w:bidi w:val="0"/>
        <w:spacing w:line="600" w:lineRule="exact"/>
        <w:jc w:val="center"/>
        <w:textAlignment w:val="auto"/>
        <w:outlineLvl w:val="0"/>
        <w:rPr>
          <w:rFonts w:ascii="Times New Roman" w:hAnsi="Times New Roman" w:eastAsia="方正小标宋_GBK" w:cs="Times New Roman"/>
          <w:sz w:val="44"/>
          <w:szCs w:val="44"/>
        </w:rPr>
      </w:pPr>
      <w:r>
        <w:rPr>
          <w:rFonts w:hint="eastAsia" w:ascii="Times New Roman" w:hAnsi="Times New Roman" w:eastAsia="方正小标宋_GBK" w:cs="Times New Roman"/>
          <w:b w:val="0"/>
          <w:bCs w:val="0"/>
          <w:sz w:val="44"/>
          <w:szCs w:val="44"/>
          <w:lang w:val="en-US" w:eastAsia="zh-CN"/>
        </w:rPr>
        <w:t>（2021—2025年）</w:t>
      </w:r>
    </w:p>
    <w:p w14:paraId="5E9AB98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14:paraId="78483D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为</w:t>
      </w:r>
      <w:r>
        <w:rPr>
          <w:rFonts w:hint="eastAsia" w:ascii="Times New Roman" w:hAnsi="Times New Roman" w:eastAsia="方正仿宋_GBK" w:cs="Times New Roman"/>
          <w:sz w:val="32"/>
          <w:szCs w:val="32"/>
          <w:lang w:val="en-US" w:eastAsia="zh-CN"/>
        </w:rPr>
        <w:t>全面做好景洪市</w:t>
      </w:r>
      <w:r>
        <w:rPr>
          <w:rFonts w:hint="default" w:ascii="Times New Roman" w:hAnsi="Times New Roman" w:eastAsia="方正仿宋_GBK" w:cs="Times New Roman"/>
          <w:sz w:val="32"/>
          <w:szCs w:val="32"/>
          <w:lang w:val="en-US" w:eastAsia="zh-CN"/>
        </w:rPr>
        <w:t>松材线虫病疫情</w:t>
      </w:r>
      <w:r>
        <w:rPr>
          <w:rFonts w:hint="eastAsia" w:ascii="Times New Roman" w:hAnsi="Times New Roman" w:eastAsia="方正仿宋_GBK" w:cs="Times New Roman"/>
          <w:sz w:val="32"/>
          <w:szCs w:val="32"/>
          <w:lang w:val="en-US" w:eastAsia="zh-CN"/>
        </w:rPr>
        <w:t>防控工作，</w:t>
      </w:r>
      <w:r>
        <w:rPr>
          <w:rFonts w:hint="eastAsia" w:ascii="Times New Roman" w:hAnsi="Times New Roman" w:eastAsia="方正仿宋_GBK" w:cs="Times New Roman"/>
          <w:sz w:val="32"/>
          <w:szCs w:val="32"/>
          <w:highlight w:val="none"/>
          <w:lang w:val="en-US" w:eastAsia="zh-CN"/>
        </w:rPr>
        <w:t>按照</w:t>
      </w:r>
      <w:r>
        <w:rPr>
          <w:rFonts w:hint="default" w:ascii="Times New Roman" w:hAnsi="Times New Roman" w:eastAsia="方正仿宋_GBK" w:cs="Times New Roman"/>
          <w:sz w:val="32"/>
          <w:szCs w:val="32"/>
          <w:highlight w:val="none"/>
          <w:lang w:eastAsia="zh-CN"/>
        </w:rPr>
        <w:t>《国家林业和草原局关于科学防控松材线虫病疫情的指导意见》</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云南省</w:t>
      </w:r>
      <w:r>
        <w:rPr>
          <w:rFonts w:hint="default" w:ascii="Times New Roman" w:hAnsi="Times New Roman" w:eastAsia="方正仿宋_GBK" w:cs="Times New Roman"/>
          <w:sz w:val="32"/>
          <w:szCs w:val="32"/>
        </w:rPr>
        <w:t>松材线虫病疫情防控五年攻坚行动</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eastAsia" w:ascii="Times New Roman" w:hAnsi="Times New Roman" w:eastAsia="方正仿宋_GBK" w:cs="Times New Roman"/>
          <w:sz w:val="32"/>
          <w:szCs w:val="32"/>
          <w:lang w:val="en-US" w:eastAsia="zh-CN"/>
        </w:rPr>
        <w:t>西双版纳州</w:t>
      </w:r>
      <w:r>
        <w:rPr>
          <w:rFonts w:hint="default" w:ascii="Times New Roman" w:hAnsi="Times New Roman" w:eastAsia="方正仿宋_GBK" w:cs="Times New Roman"/>
          <w:sz w:val="32"/>
          <w:szCs w:val="32"/>
        </w:rPr>
        <w:t>松材线虫病疫情防控五年攻坚行动</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lang w:val="en-US" w:eastAsia="zh-CN"/>
        </w:rPr>
        <w:t>要求，</w:t>
      </w:r>
      <w:r>
        <w:rPr>
          <w:rFonts w:hint="eastAsia" w:ascii="Times New Roman" w:hAnsi="Times New Roman" w:eastAsia="方正仿宋_GBK" w:cs="Times New Roman"/>
          <w:sz w:val="32"/>
          <w:szCs w:val="32"/>
          <w:lang w:val="en-US" w:eastAsia="zh-CN"/>
        </w:rPr>
        <w:t>结合景洪市实际，</w:t>
      </w:r>
      <w:r>
        <w:rPr>
          <w:rFonts w:hint="default" w:ascii="Times New Roman" w:hAnsi="Times New Roman" w:eastAsia="方正仿宋_GBK" w:cs="Times New Roman"/>
          <w:sz w:val="32"/>
          <w:szCs w:val="32"/>
          <w:lang w:val="en-US" w:eastAsia="zh-CN"/>
        </w:rPr>
        <w:t>制定</w:t>
      </w:r>
      <w:r>
        <w:rPr>
          <w:rFonts w:hint="default" w:ascii="Times New Roman" w:hAnsi="Times New Roman" w:eastAsia="方正仿宋_GBK" w:cs="Times New Roman"/>
          <w:sz w:val="32"/>
          <w:szCs w:val="32"/>
          <w:lang w:eastAsia="zh-CN"/>
        </w:rPr>
        <w:t>本</w:t>
      </w:r>
      <w:r>
        <w:rPr>
          <w:rFonts w:hint="eastAsia" w:ascii="Times New Roman" w:hAnsi="Times New Roman" w:eastAsia="方正仿宋_GBK" w:cs="Times New Roman"/>
          <w:sz w:val="32"/>
          <w:szCs w:val="32"/>
          <w:lang w:eastAsia="zh-CN"/>
        </w:rPr>
        <w:t>攻坚</w:t>
      </w:r>
      <w:r>
        <w:rPr>
          <w:rFonts w:hint="default" w:ascii="Times New Roman" w:hAnsi="Times New Roman" w:eastAsia="方正仿宋_GBK" w:cs="Times New Roman"/>
          <w:sz w:val="32"/>
          <w:szCs w:val="32"/>
          <w:lang w:eastAsia="zh-CN"/>
        </w:rPr>
        <w:t>行动方案。</w:t>
      </w:r>
      <w:bookmarkStart w:id="1" w:name="_Toc11765"/>
      <w:bookmarkStart w:id="2" w:name="_Toc19052"/>
      <w:bookmarkStart w:id="3" w:name="_Toc4182"/>
      <w:bookmarkStart w:id="4" w:name="_Toc13557"/>
      <w:bookmarkStart w:id="5" w:name="_Toc32564"/>
      <w:bookmarkStart w:id="6" w:name="_Toc27158"/>
      <w:bookmarkStart w:id="7" w:name="_Toc20328"/>
      <w:bookmarkStart w:id="8" w:name="_Toc26571"/>
      <w:bookmarkStart w:id="9" w:name="_Toc15810"/>
      <w:bookmarkStart w:id="10" w:name="_Toc12771"/>
      <w:bookmarkStart w:id="11" w:name="_Toc16870"/>
      <w:bookmarkStart w:id="12" w:name="_Toc15397"/>
      <w:bookmarkStart w:id="13" w:name="_Toc19435"/>
      <w:bookmarkStart w:id="14" w:name="_Toc21063"/>
      <w:bookmarkStart w:id="15" w:name="_Toc30043"/>
      <w:bookmarkStart w:id="16" w:name="_Toc12206"/>
      <w:bookmarkStart w:id="17" w:name="_Toc18466"/>
      <w:bookmarkStart w:id="18" w:name="_Toc10405"/>
      <w:bookmarkStart w:id="19" w:name="_Toc28071"/>
      <w:bookmarkStart w:id="20" w:name="_Toc889"/>
    </w:p>
    <w:p w14:paraId="096325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rPr>
      </w:pPr>
      <w:bookmarkStart w:id="21" w:name="_Toc3951"/>
      <w:r>
        <w:rPr>
          <w:rFonts w:hint="default" w:ascii="Times New Roman" w:hAnsi="Times New Roman" w:eastAsia="方正黑体_GBK" w:cs="Times New Roman"/>
          <w:sz w:val="32"/>
          <w:szCs w:val="32"/>
          <w:lang w:val="en-US" w:eastAsia="zh-CN"/>
        </w:rPr>
        <w:t>一、</w:t>
      </w:r>
      <w:r>
        <w:rPr>
          <w:rFonts w:hint="default" w:ascii="Times New Roman" w:hAnsi="Times New Roman" w:eastAsia="方正黑体_GBK" w:cs="Times New Roman"/>
          <w:sz w:val="32"/>
          <w:szCs w:val="32"/>
        </w:rPr>
        <w:t>总体要求</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0CDF4E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bookmarkStart w:id="22" w:name="_Toc32747"/>
      <w:bookmarkStart w:id="23" w:name="_Toc6054"/>
      <w:bookmarkStart w:id="24" w:name="_Toc23768"/>
      <w:bookmarkStart w:id="25" w:name="_Toc1477"/>
      <w:bookmarkStart w:id="26" w:name="_Toc24264"/>
      <w:bookmarkStart w:id="27" w:name="_Toc22690"/>
      <w:bookmarkStart w:id="28" w:name="_Toc17698"/>
      <w:bookmarkStart w:id="29" w:name="_Toc16242"/>
      <w:bookmarkStart w:id="30" w:name="_Toc28623"/>
      <w:bookmarkStart w:id="31" w:name="_Toc14187"/>
      <w:bookmarkStart w:id="32" w:name="_Toc11910"/>
      <w:bookmarkStart w:id="33" w:name="_Toc20407"/>
      <w:bookmarkStart w:id="34" w:name="_Toc15234"/>
      <w:bookmarkStart w:id="35" w:name="_Toc16286"/>
      <w:bookmarkStart w:id="36" w:name="_Toc18595"/>
      <w:bookmarkStart w:id="37" w:name="_Toc30882"/>
      <w:bookmarkStart w:id="38" w:name="_Toc8217"/>
      <w:bookmarkStart w:id="39" w:name="_Toc27131"/>
      <w:bookmarkStart w:id="40" w:name="_Toc14037"/>
      <w:bookmarkStart w:id="41" w:name="_Toc23359"/>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一</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指导思想</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r>
        <w:rPr>
          <w:rFonts w:hint="default" w:ascii="Times New Roman" w:hAnsi="Times New Roman" w:eastAsia="方正楷体_GBK" w:cs="Times New Roman"/>
          <w:sz w:val="32"/>
          <w:szCs w:val="32"/>
          <w:lang w:eastAsia="zh-CN"/>
        </w:rPr>
        <w:t>。</w:t>
      </w:r>
      <w:r>
        <w:rPr>
          <w:rFonts w:hint="eastAsia" w:ascii="方正仿宋_GBK" w:hAnsi="方正仿宋_GBK" w:eastAsia="方正仿宋_GBK" w:cs="方正仿宋_GBK"/>
          <w:sz w:val="32"/>
          <w:szCs w:val="32"/>
          <w:lang w:eastAsia="zh-CN"/>
        </w:rPr>
        <w:t>坚持</w:t>
      </w:r>
      <w:r>
        <w:rPr>
          <w:rFonts w:hint="eastAsia" w:ascii="方正仿宋_GBK" w:hAnsi="方正仿宋_GBK" w:eastAsia="方正仿宋_GBK" w:cs="方正仿宋_GBK"/>
          <w:sz w:val="32"/>
          <w:szCs w:val="32"/>
        </w:rPr>
        <w:t>以习近</w:t>
      </w:r>
      <w:r>
        <w:rPr>
          <w:rFonts w:hint="default" w:ascii="Times New Roman" w:hAnsi="Times New Roman" w:eastAsia="方正仿宋_GBK" w:cs="Times New Roman"/>
          <w:sz w:val="32"/>
          <w:szCs w:val="32"/>
        </w:rPr>
        <w:t>平生态文明思想为指导，</w:t>
      </w:r>
      <w:r>
        <w:rPr>
          <w:rFonts w:hint="eastAsia" w:ascii="Times New Roman" w:hAnsi="Times New Roman" w:eastAsia="方正仿宋_GBK" w:cs="Times New Roman"/>
          <w:sz w:val="32"/>
          <w:szCs w:val="32"/>
          <w:lang w:eastAsia="zh-CN"/>
        </w:rPr>
        <w:t>认真落实</w:t>
      </w:r>
      <w:r>
        <w:rPr>
          <w:rFonts w:hint="default" w:ascii="Times New Roman" w:hAnsi="Times New Roman" w:eastAsia="方正仿宋_GBK" w:cs="Times New Roman"/>
          <w:sz w:val="32"/>
          <w:szCs w:val="32"/>
          <w:lang w:val="en-US" w:eastAsia="zh-CN"/>
        </w:rPr>
        <w:t>国家、省、州有关</w:t>
      </w:r>
      <w:r>
        <w:rPr>
          <w:rFonts w:hint="default" w:ascii="Times New Roman" w:hAnsi="Times New Roman" w:eastAsia="方正仿宋_GBK" w:cs="Times New Roman"/>
          <w:sz w:val="32"/>
          <w:szCs w:val="32"/>
          <w:lang w:eastAsia="zh-CN"/>
        </w:rPr>
        <w:t>决策部署和工作安排</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深入贯彻</w:t>
      </w:r>
      <w:r>
        <w:rPr>
          <w:rFonts w:hint="default" w:ascii="Times New Roman" w:hAnsi="Times New Roman" w:eastAsia="方正仿宋_GBK" w:cs="Times New Roman"/>
          <w:sz w:val="32"/>
          <w:szCs w:val="32"/>
        </w:rPr>
        <w:t>《生物安全法》《森林法》《国家林业和草原局关于科学防控松材线虫病疫情的指导意见》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松材线虫病防治技术方案（2021版）</w:t>
      </w:r>
      <w:r>
        <w:rPr>
          <w:rFonts w:hint="default" w:ascii="Times New Roman" w:hAnsi="Times New Roman" w:eastAsia="方正仿宋_GBK" w:cs="Times New Roman"/>
          <w:sz w:val="32"/>
          <w:szCs w:val="32"/>
          <w:lang w:eastAsia="zh-CN"/>
        </w:rPr>
        <w:t>》《松材线虫病疫区和疫木管理办法》</w:t>
      </w:r>
      <w:r>
        <w:rPr>
          <w:rFonts w:hint="default" w:ascii="Times New Roman" w:hAnsi="Times New Roman" w:eastAsia="方正仿宋_GBK" w:cs="Times New Roman"/>
          <w:sz w:val="32"/>
          <w:szCs w:val="32"/>
        </w:rPr>
        <w:t>《全国松材线虫病疫情防控五年攻坚行动计划（2021—2025年）》《</w:t>
      </w:r>
      <w:r>
        <w:rPr>
          <w:rFonts w:hint="default" w:ascii="Times New Roman" w:hAnsi="Times New Roman" w:eastAsia="方正仿宋_GBK" w:cs="Times New Roman"/>
          <w:sz w:val="32"/>
          <w:szCs w:val="32"/>
          <w:lang w:val="en-US" w:eastAsia="zh-CN"/>
        </w:rPr>
        <w:t>云南省</w:t>
      </w:r>
      <w:r>
        <w:rPr>
          <w:rFonts w:hint="default" w:ascii="Times New Roman" w:hAnsi="Times New Roman" w:eastAsia="方正仿宋_GBK" w:cs="Times New Roman"/>
          <w:sz w:val="32"/>
          <w:szCs w:val="32"/>
        </w:rPr>
        <w:t>松材线虫病疫情防控五年攻坚行动</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eastAsia" w:ascii="Times New Roman" w:hAnsi="Times New Roman" w:eastAsia="方正仿宋_GBK" w:cs="Times New Roman"/>
          <w:sz w:val="32"/>
          <w:szCs w:val="32"/>
          <w:lang w:val="en-US" w:eastAsia="zh-CN"/>
        </w:rPr>
        <w:t>西双版纳州</w:t>
      </w:r>
      <w:r>
        <w:rPr>
          <w:rFonts w:hint="default" w:ascii="Times New Roman" w:hAnsi="Times New Roman" w:eastAsia="方正仿宋_GBK" w:cs="Times New Roman"/>
          <w:sz w:val="32"/>
          <w:szCs w:val="32"/>
        </w:rPr>
        <w:t>松材线虫病疫情防控五年攻坚行动</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eastAsia" w:ascii="Times New Roman" w:hAnsi="Times New Roman" w:eastAsia="方正仿宋_GBK" w:cs="Times New Roman"/>
          <w:sz w:val="32"/>
          <w:szCs w:val="32"/>
          <w:lang w:eastAsia="zh-CN"/>
        </w:rPr>
        <w:t>实行“</w:t>
      </w:r>
      <w:r>
        <w:rPr>
          <w:rFonts w:hint="default" w:ascii="Times New Roman" w:hAnsi="Times New Roman" w:eastAsia="方正仿宋_GBK" w:cs="Times New Roman"/>
          <w:sz w:val="32"/>
          <w:szCs w:val="32"/>
          <w:lang w:eastAsia="zh-CN"/>
        </w:rPr>
        <w:t>预防为主、治理为要、监管为重</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的防控</w:t>
      </w:r>
      <w:r>
        <w:rPr>
          <w:rFonts w:hint="eastAsia" w:ascii="Times New Roman" w:hAnsi="Times New Roman" w:eastAsia="方正仿宋_GBK" w:cs="Times New Roman"/>
          <w:sz w:val="32"/>
          <w:szCs w:val="32"/>
          <w:lang w:eastAsia="zh-CN"/>
        </w:rPr>
        <w:t>方针</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按照分区分级管理、科学精准施策要求</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以</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疫情监测、疫源管控、疫</w:t>
      </w:r>
      <w:r>
        <w:rPr>
          <w:rFonts w:hint="eastAsia" w:ascii="Times New Roman" w:hAnsi="Times New Roman" w:eastAsia="方正仿宋_GBK" w:cs="Times New Roman"/>
          <w:sz w:val="32"/>
          <w:szCs w:val="32"/>
          <w:lang w:eastAsia="zh-CN"/>
        </w:rPr>
        <w:t>病</w:t>
      </w:r>
      <w:r>
        <w:rPr>
          <w:rFonts w:hint="default" w:ascii="Times New Roman" w:hAnsi="Times New Roman" w:eastAsia="方正仿宋_GBK" w:cs="Times New Roman"/>
          <w:sz w:val="32"/>
          <w:szCs w:val="32"/>
          <w:lang w:eastAsia="zh-CN"/>
        </w:rPr>
        <w:t>除治</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为重点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强化区域间联防联控</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严防松材线虫病入侵和扩散</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为</w:t>
      </w:r>
      <w:r>
        <w:rPr>
          <w:rFonts w:hint="eastAsia" w:ascii="Times New Roman" w:hAnsi="Times New Roman" w:eastAsia="方正仿宋_GBK" w:cs="Times New Roman"/>
          <w:sz w:val="32"/>
          <w:szCs w:val="32"/>
          <w:lang w:val="en-US" w:eastAsia="zh-CN"/>
        </w:rPr>
        <w:t>建设美丽生态景洪</w:t>
      </w:r>
      <w:r>
        <w:rPr>
          <w:rFonts w:hint="default" w:ascii="Times New Roman" w:hAnsi="Times New Roman" w:eastAsia="方正仿宋_GBK" w:cs="Times New Roman"/>
          <w:sz w:val="32"/>
          <w:szCs w:val="32"/>
          <w:lang w:eastAsia="zh-CN"/>
        </w:rPr>
        <w:t>和</w:t>
      </w:r>
      <w:r>
        <w:rPr>
          <w:rFonts w:hint="eastAsia" w:ascii="Times New Roman" w:hAnsi="Times New Roman" w:eastAsia="方正仿宋_GBK" w:cs="Times New Roman"/>
          <w:sz w:val="32"/>
          <w:szCs w:val="32"/>
          <w:lang w:eastAsia="zh-CN"/>
        </w:rPr>
        <w:t>打造“美丽中国雨林城市”</w:t>
      </w:r>
      <w:r>
        <w:rPr>
          <w:rFonts w:hint="default" w:ascii="Times New Roman" w:hAnsi="Times New Roman" w:eastAsia="方正仿宋_GBK" w:cs="Times New Roman"/>
          <w:sz w:val="32"/>
          <w:szCs w:val="32"/>
          <w:lang w:val="en-US" w:eastAsia="zh-CN"/>
        </w:rPr>
        <w:t>提供</w:t>
      </w:r>
      <w:r>
        <w:rPr>
          <w:rFonts w:hint="default" w:ascii="Times New Roman" w:hAnsi="Times New Roman" w:eastAsia="方正仿宋_GBK" w:cs="Times New Roman"/>
          <w:sz w:val="32"/>
          <w:szCs w:val="32"/>
          <w:lang w:eastAsia="zh-CN"/>
        </w:rPr>
        <w:t>良好生态保障。</w:t>
      </w:r>
      <w:bookmarkStart w:id="42" w:name="_Toc4660"/>
      <w:bookmarkStart w:id="43" w:name="_Toc22401"/>
      <w:bookmarkStart w:id="44" w:name="_Toc8918"/>
      <w:bookmarkStart w:id="45" w:name="_Toc17284"/>
      <w:bookmarkStart w:id="46" w:name="_Toc6647"/>
      <w:bookmarkStart w:id="47" w:name="_Toc23839"/>
      <w:bookmarkStart w:id="48" w:name="_Toc25242"/>
      <w:bookmarkStart w:id="49" w:name="_Toc303"/>
      <w:bookmarkStart w:id="50" w:name="_Toc5868"/>
      <w:bookmarkStart w:id="51" w:name="_Toc2246"/>
      <w:bookmarkStart w:id="52" w:name="_Toc6504"/>
      <w:bookmarkStart w:id="53" w:name="_Toc9996"/>
      <w:bookmarkStart w:id="54" w:name="_Toc1497"/>
      <w:bookmarkStart w:id="55" w:name="_Toc2469"/>
      <w:bookmarkStart w:id="56" w:name="_Toc26765"/>
      <w:bookmarkStart w:id="57" w:name="_Toc3972"/>
      <w:bookmarkStart w:id="58" w:name="_Toc19900"/>
      <w:bookmarkStart w:id="59" w:name="_Toc29892"/>
      <w:bookmarkStart w:id="60" w:name="_Toc18693"/>
      <w:bookmarkStart w:id="61" w:name="_Toc993"/>
    </w:p>
    <w:p w14:paraId="6A7F3F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楷体_GBK" w:cs="Times New Roman"/>
          <w:sz w:val="32"/>
          <w:szCs w:val="32"/>
          <w:lang w:val="en-US" w:eastAsia="zh-CN"/>
        </w:rPr>
        <w:t>（二）基本原则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Pr>
          <w:rFonts w:hint="default" w:ascii="Times New Roman" w:hAnsi="Times New Roman" w:eastAsia="方正楷体_GBK" w:cs="Times New Roman"/>
          <w:sz w:val="32"/>
          <w:szCs w:val="32"/>
          <w:lang w:val="en-US" w:eastAsia="zh-CN"/>
        </w:rPr>
        <w:t>。一是</w:t>
      </w:r>
      <w:r>
        <w:rPr>
          <w:rFonts w:hint="default" w:ascii="Times New Roman" w:hAnsi="Times New Roman" w:eastAsia="方正仿宋_GBK" w:cs="Times New Roman"/>
          <w:sz w:val="32"/>
          <w:szCs w:val="32"/>
          <w:lang w:eastAsia="zh-CN"/>
        </w:rPr>
        <w:t>坚持依法防控。健全疫情防控规章制度，依法依规履行防控职责，落实防控措施，强化防控监管。</w:t>
      </w:r>
      <w:r>
        <w:rPr>
          <w:rFonts w:hint="default" w:ascii="Times New Roman" w:hAnsi="Times New Roman" w:eastAsia="方正楷体_GBK" w:cs="Times New Roman"/>
          <w:sz w:val="32"/>
          <w:szCs w:val="32"/>
          <w:lang w:val="en-US" w:eastAsia="zh-CN"/>
        </w:rPr>
        <w:t>二是</w:t>
      </w:r>
      <w:r>
        <w:rPr>
          <w:rFonts w:hint="default" w:ascii="Times New Roman" w:hAnsi="Times New Roman" w:eastAsia="方正仿宋_GBK" w:cs="Times New Roman"/>
          <w:sz w:val="32"/>
          <w:szCs w:val="32"/>
          <w:lang w:eastAsia="zh-CN"/>
        </w:rPr>
        <w:t>坚持精准施策。坚守疫情防控底线，强化管理创新和技术创新，因地制宜，分区分级管理，科学分类施策。</w:t>
      </w:r>
      <w:r>
        <w:rPr>
          <w:rFonts w:hint="default" w:ascii="Times New Roman" w:hAnsi="Times New Roman" w:eastAsia="方正楷体_GBK" w:cs="Times New Roman"/>
          <w:sz w:val="32"/>
          <w:szCs w:val="32"/>
          <w:lang w:val="en-US" w:eastAsia="zh-CN"/>
        </w:rPr>
        <w:t>三是</w:t>
      </w:r>
      <w:r>
        <w:rPr>
          <w:rFonts w:hint="default" w:ascii="Times New Roman" w:hAnsi="Times New Roman" w:eastAsia="方正仿宋_GBK" w:cs="Times New Roman"/>
          <w:sz w:val="32"/>
          <w:szCs w:val="32"/>
          <w:lang w:eastAsia="zh-CN"/>
        </w:rPr>
        <w:t>坚持系统治理。科学理性认识疫情，综合考虑森林生态系统的整体性和疫情防控工作的系统性，统筹疫情防控各环节，开展系统治理。</w:t>
      </w:r>
      <w:r>
        <w:rPr>
          <w:rFonts w:hint="default" w:ascii="Times New Roman" w:hAnsi="Times New Roman" w:eastAsia="方正楷体_GBK" w:cs="Times New Roman"/>
          <w:sz w:val="32"/>
          <w:szCs w:val="32"/>
          <w:lang w:val="en-US" w:eastAsia="zh-CN"/>
        </w:rPr>
        <w:t>四是</w:t>
      </w:r>
      <w:r>
        <w:rPr>
          <w:rFonts w:hint="default" w:ascii="Times New Roman" w:hAnsi="Times New Roman" w:eastAsia="方正仿宋_GBK" w:cs="Times New Roman"/>
          <w:sz w:val="32"/>
          <w:szCs w:val="32"/>
          <w:lang w:eastAsia="zh-CN"/>
        </w:rPr>
        <w:t>坚持属地负责。贯彻落实疫情防控地方政府主体责任，将疫情防控工作纳入林长</w:t>
      </w:r>
      <w:r>
        <w:rPr>
          <w:rFonts w:hint="eastAsia" w:ascii="Times New Roman" w:hAnsi="Times New Roman" w:eastAsia="方正仿宋_GBK" w:cs="Times New Roman"/>
          <w:sz w:val="32"/>
          <w:szCs w:val="32"/>
          <w:lang w:eastAsia="zh-CN"/>
        </w:rPr>
        <w:t>制</w:t>
      </w:r>
      <w:r>
        <w:rPr>
          <w:rFonts w:hint="default" w:ascii="Times New Roman" w:hAnsi="Times New Roman" w:eastAsia="方正仿宋_GBK" w:cs="Times New Roman"/>
          <w:sz w:val="32"/>
          <w:szCs w:val="32"/>
          <w:lang w:eastAsia="zh-CN"/>
        </w:rPr>
        <w:t>目标考核体系。</w:t>
      </w:r>
      <w:bookmarkStart w:id="62" w:name="_Toc13010"/>
      <w:bookmarkStart w:id="63" w:name="_Toc31600"/>
      <w:bookmarkStart w:id="64" w:name="_Toc10756"/>
      <w:bookmarkStart w:id="65" w:name="_Toc30729"/>
      <w:bookmarkStart w:id="66" w:name="_Toc26407"/>
      <w:bookmarkStart w:id="67" w:name="_Toc13696"/>
      <w:bookmarkStart w:id="68" w:name="_Toc13729"/>
      <w:bookmarkStart w:id="69" w:name="_Toc23512"/>
      <w:bookmarkStart w:id="70" w:name="_Toc5460"/>
      <w:bookmarkStart w:id="71" w:name="_Toc26034"/>
      <w:bookmarkStart w:id="72" w:name="_Toc10733"/>
      <w:bookmarkStart w:id="73" w:name="_Toc3932"/>
      <w:bookmarkStart w:id="74" w:name="_Toc32491"/>
      <w:bookmarkStart w:id="75" w:name="_Toc11082"/>
      <w:bookmarkStart w:id="76" w:name="_Toc31594"/>
      <w:bookmarkStart w:id="77" w:name="_Toc26168"/>
      <w:bookmarkStart w:id="78" w:name="_Toc27843"/>
      <w:bookmarkStart w:id="79" w:name="_Toc14332"/>
      <w:bookmarkStart w:id="80" w:name="_Toc28280"/>
      <w:bookmarkStart w:id="81" w:name="_Toc28094"/>
      <w:bookmarkStart w:id="82" w:name="_Toc7783"/>
    </w:p>
    <w:p w14:paraId="25553E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bookmarkStart w:id="83" w:name="_Toc27233"/>
      <w:r>
        <w:rPr>
          <w:rFonts w:hint="default" w:ascii="Times New Roman" w:hAnsi="Times New Roman" w:eastAsia="方正黑体_GBK" w:cs="Times New Roman"/>
          <w:sz w:val="32"/>
          <w:szCs w:val="32"/>
          <w:lang w:val="en-US" w:eastAsia="zh-CN"/>
        </w:rPr>
        <w:t>二、行动目标</w:t>
      </w:r>
      <w:bookmarkEnd w:id="83"/>
    </w:p>
    <w:p w14:paraId="631333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bookmarkStart w:id="84" w:name="_Toc9720"/>
      <w:bookmarkStart w:id="85" w:name="_Toc12139"/>
      <w:bookmarkStart w:id="86" w:name="_Toc13235"/>
      <w:r>
        <w:rPr>
          <w:rFonts w:hint="default" w:ascii="Times New Roman" w:hAnsi="Times New Roman" w:eastAsia="方正楷体_GBK" w:cs="Times New Roman"/>
          <w:sz w:val="32"/>
          <w:szCs w:val="32"/>
          <w:lang w:val="en-US" w:eastAsia="zh-CN"/>
        </w:rPr>
        <w:t>（一）总体目标。</w:t>
      </w:r>
      <w:r>
        <w:rPr>
          <w:rFonts w:hint="eastAsia" w:ascii="Times New Roman" w:hAnsi="Times New Roman" w:eastAsia="方正仿宋_GBK" w:cs="Times New Roman"/>
          <w:sz w:val="32"/>
          <w:szCs w:val="32"/>
          <w:lang w:val="en-US" w:eastAsia="zh-CN"/>
        </w:rPr>
        <w:t>严格</w:t>
      </w:r>
      <w:r>
        <w:rPr>
          <w:rFonts w:hint="default" w:ascii="Times New Roman" w:hAnsi="Times New Roman" w:eastAsia="方正仿宋_GBK" w:cs="Times New Roman"/>
          <w:sz w:val="32"/>
          <w:szCs w:val="32"/>
        </w:rPr>
        <w:t>履行松材线虫病</w:t>
      </w:r>
      <w:r>
        <w:rPr>
          <w:rFonts w:hint="eastAsia" w:ascii="Times New Roman" w:hAnsi="Times New Roman" w:eastAsia="方正仿宋_GBK" w:cs="Times New Roman"/>
          <w:sz w:val="32"/>
          <w:szCs w:val="32"/>
          <w:lang w:val="en-US" w:eastAsia="zh-CN"/>
        </w:rPr>
        <w:t>疫情</w:t>
      </w:r>
      <w:r>
        <w:rPr>
          <w:rFonts w:hint="default" w:ascii="Times New Roman" w:hAnsi="Times New Roman" w:eastAsia="方正仿宋_GBK" w:cs="Times New Roman"/>
          <w:sz w:val="32"/>
          <w:szCs w:val="32"/>
        </w:rPr>
        <w:t>防控主体责任，</w:t>
      </w:r>
      <w:r>
        <w:rPr>
          <w:rFonts w:hint="eastAsia" w:ascii="Times New Roman" w:hAnsi="Times New Roman" w:eastAsia="方正仿宋_GBK" w:cs="Times New Roman"/>
          <w:sz w:val="32"/>
          <w:szCs w:val="32"/>
          <w:lang w:val="en-US" w:eastAsia="zh-CN"/>
        </w:rPr>
        <w:t>坚持“</w:t>
      </w:r>
      <w:r>
        <w:rPr>
          <w:rFonts w:hint="default" w:ascii="Times New Roman" w:hAnsi="Times New Roman" w:eastAsia="方正仿宋_GBK" w:cs="Times New Roman"/>
          <w:sz w:val="32"/>
          <w:szCs w:val="32"/>
        </w:rPr>
        <w:t>政府主导、部门协作、社会参与</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的工作机制，落实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早发现、早报告、早除治、早拔除</w:t>
      </w:r>
      <w:r>
        <w:rPr>
          <w:rFonts w:hint="eastAsia" w:ascii="Times New Roman" w:hAnsi="Times New Roman" w:eastAsia="方正仿宋_GBK" w:cs="Times New Roman"/>
          <w:sz w:val="32"/>
          <w:szCs w:val="32"/>
          <w:lang w:eastAsia="zh-CN"/>
        </w:rPr>
        <w:t>”的防控措施</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深入</w:t>
      </w:r>
      <w:r>
        <w:rPr>
          <w:rFonts w:hint="eastAsia" w:ascii="Times New Roman" w:hAnsi="Times New Roman" w:eastAsia="方正仿宋_GBK" w:cs="Times New Roman"/>
          <w:sz w:val="32"/>
          <w:szCs w:val="32"/>
          <w:lang w:val="en-US" w:eastAsia="zh-CN"/>
        </w:rPr>
        <w:t>实施“林业</w:t>
      </w:r>
      <w:r>
        <w:rPr>
          <w:rFonts w:hint="default" w:ascii="Times New Roman" w:hAnsi="Times New Roman" w:eastAsia="方正仿宋_GBK" w:cs="Times New Roman"/>
          <w:sz w:val="32"/>
          <w:szCs w:val="32"/>
          <w:lang w:val="en-US" w:eastAsia="zh-CN"/>
        </w:rPr>
        <w:t>植物检疫执法、疫情精准监测、疫情报告核查、疫情封锁管控、除治质量提升、健康森林保护</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等</w:t>
      </w:r>
      <w:r>
        <w:rPr>
          <w:rFonts w:hint="eastAsia" w:ascii="Times New Roman" w:hAnsi="Times New Roman" w:eastAsia="方正仿宋_GBK" w:cs="Times New Roman"/>
          <w:sz w:val="32"/>
          <w:szCs w:val="32"/>
          <w:lang w:val="en-US" w:eastAsia="zh-CN"/>
        </w:rPr>
        <w:t>防控</w:t>
      </w:r>
      <w:r>
        <w:rPr>
          <w:rFonts w:hint="default" w:ascii="Times New Roman" w:hAnsi="Times New Roman" w:eastAsia="方正仿宋_GBK" w:cs="Times New Roman"/>
          <w:sz w:val="32"/>
          <w:szCs w:val="32"/>
          <w:lang w:val="en-US" w:eastAsia="zh-CN"/>
        </w:rPr>
        <w:t>行</w:t>
      </w:r>
      <w:r>
        <w:rPr>
          <w:rFonts w:hint="eastAsia" w:ascii="Times New Roman" w:hAnsi="Times New Roman" w:eastAsia="方正仿宋_GBK" w:cs="Times New Roman"/>
          <w:sz w:val="32"/>
          <w:szCs w:val="32"/>
          <w:lang w:val="en-US" w:eastAsia="zh-CN"/>
        </w:rPr>
        <w:t>动</w:t>
      </w:r>
      <w:r>
        <w:rPr>
          <w:rFonts w:hint="default" w:ascii="Times New Roman" w:hAnsi="Times New Roman" w:eastAsia="方正仿宋_GBK" w:cs="Times New Roman"/>
          <w:sz w:val="32"/>
          <w:szCs w:val="32"/>
          <w:lang w:val="en-US" w:eastAsia="zh-CN"/>
        </w:rPr>
        <w:t>，确保2021年—2025年</w:t>
      </w:r>
      <w:r>
        <w:rPr>
          <w:rFonts w:hint="eastAsia" w:ascii="Times New Roman" w:hAnsi="Times New Roman" w:eastAsia="方正仿宋_GBK" w:cs="Times New Roman"/>
          <w:sz w:val="32"/>
          <w:szCs w:val="32"/>
          <w:lang w:val="en-US" w:eastAsia="zh-CN"/>
        </w:rPr>
        <w:t>期间景洪市</w:t>
      </w:r>
      <w:r>
        <w:rPr>
          <w:rFonts w:hint="default" w:ascii="Times New Roman" w:hAnsi="Times New Roman" w:eastAsia="方正仿宋_GBK" w:cs="Times New Roman"/>
          <w:sz w:val="32"/>
          <w:szCs w:val="32"/>
          <w:lang w:val="en-US" w:eastAsia="zh-CN"/>
        </w:rPr>
        <w:t>不发生松材线虫病疫情。</w:t>
      </w:r>
    </w:p>
    <w:p w14:paraId="4D4185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（二）分</w:t>
      </w:r>
      <w:r>
        <w:rPr>
          <w:rFonts w:hint="eastAsia" w:ascii="Times New Roman" w:hAnsi="Times New Roman" w:eastAsia="方正楷体_GBK" w:cs="Times New Roman"/>
          <w:sz w:val="32"/>
          <w:szCs w:val="32"/>
          <w:lang w:val="en-US" w:eastAsia="zh-CN"/>
        </w:rPr>
        <w:t>级</w:t>
      </w:r>
      <w:r>
        <w:rPr>
          <w:rFonts w:hint="default" w:ascii="Times New Roman" w:hAnsi="Times New Roman" w:eastAsia="方正楷体_GBK" w:cs="Times New Roman"/>
          <w:sz w:val="32"/>
          <w:szCs w:val="32"/>
          <w:lang w:val="en-US" w:eastAsia="zh-CN"/>
        </w:rPr>
        <w:t>目标。</w:t>
      </w:r>
      <w:r>
        <w:rPr>
          <w:rFonts w:hint="eastAsia" w:ascii="Times New Roman" w:hAnsi="Times New Roman" w:eastAsia="方正仿宋_GBK" w:cs="Times New Roman"/>
          <w:sz w:val="32"/>
          <w:szCs w:val="32"/>
          <w:lang w:eastAsia="zh-CN"/>
        </w:rPr>
        <w:t>继续</w:t>
      </w:r>
      <w:r>
        <w:rPr>
          <w:rFonts w:hint="eastAsia" w:ascii="Times New Roman" w:hAnsi="Times New Roman" w:eastAsia="方正仿宋_GBK" w:cs="Times New Roman"/>
          <w:sz w:val="32"/>
          <w:szCs w:val="32"/>
          <w:lang w:val="en-US" w:eastAsia="zh-CN"/>
        </w:rPr>
        <w:t>保持无</w:t>
      </w:r>
      <w:r>
        <w:rPr>
          <w:rFonts w:hint="default" w:ascii="Times New Roman" w:hAnsi="Times New Roman" w:eastAsia="方正仿宋_GBK" w:cs="Times New Roman"/>
          <w:sz w:val="32"/>
          <w:szCs w:val="32"/>
          <w:lang w:val="en-US" w:eastAsia="zh-CN"/>
        </w:rPr>
        <w:t>松材线虫病疫情</w:t>
      </w:r>
      <w:r>
        <w:rPr>
          <w:rFonts w:hint="eastAsia" w:ascii="Times New Roman" w:hAnsi="Times New Roman" w:eastAsia="方正仿宋_GBK" w:cs="Times New Roman"/>
          <w:sz w:val="32"/>
          <w:szCs w:val="32"/>
          <w:lang w:val="en-US" w:eastAsia="zh-CN"/>
        </w:rPr>
        <w:t>状态，</w:t>
      </w:r>
      <w:r>
        <w:rPr>
          <w:rFonts w:hint="default" w:ascii="Times New Roman" w:hAnsi="Times New Roman" w:eastAsia="方正仿宋_GBK" w:cs="Times New Roman"/>
          <w:sz w:val="32"/>
          <w:szCs w:val="32"/>
        </w:rPr>
        <w:t>力争到2025年疫区数量控制在0个；202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年秋季普查之前新发的疫区，3年内实现拔除；2023年秋季普查及以后的新发疫区，1年内实现无疫情</w:t>
      </w:r>
      <w:r>
        <w:rPr>
          <w:rFonts w:hint="default" w:ascii="Times New Roman" w:hAnsi="Times New Roman" w:eastAsia="方正仿宋_GBK" w:cs="Times New Roman"/>
          <w:sz w:val="32"/>
          <w:szCs w:val="32"/>
          <w:lang w:val="en-US" w:eastAsia="zh-CN"/>
        </w:rPr>
        <w:t>。</w:t>
      </w:r>
      <w:bookmarkEnd w:id="84"/>
      <w:bookmarkEnd w:id="85"/>
      <w:bookmarkEnd w:id="86"/>
    </w:p>
    <w:p w14:paraId="1F1E60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bookmarkStart w:id="87" w:name="_Toc20451"/>
      <w:r>
        <w:rPr>
          <w:rFonts w:hint="default" w:ascii="Times New Roman" w:hAnsi="Times New Roman" w:eastAsia="方正黑体_GBK" w:cs="Times New Roman"/>
          <w:sz w:val="32"/>
          <w:szCs w:val="32"/>
          <w:lang w:val="en-US" w:eastAsia="zh-CN"/>
        </w:rPr>
        <w:t>三、行动区划</w:t>
      </w:r>
      <w:bookmarkEnd w:id="87"/>
    </w:p>
    <w:p w14:paraId="1F447D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（一）划分标准。</w:t>
      </w:r>
      <w:r>
        <w:rPr>
          <w:rFonts w:hint="default" w:ascii="Times New Roman" w:hAnsi="Times New Roman" w:eastAsia="方正仿宋_GBK" w:cs="Times New Roman"/>
          <w:sz w:val="32"/>
          <w:szCs w:val="32"/>
        </w:rPr>
        <w:t>按照《全国松材线虫病疫情防控五年攻坚行动计划（2021—2025年）》关于分区分级管理的要求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全国松林分布区域划分为重型疫区、</w:t>
      </w:r>
      <w:bookmarkStart w:id="88" w:name="OLE_LINK2"/>
      <w:r>
        <w:rPr>
          <w:rFonts w:hint="default" w:ascii="Times New Roman" w:hAnsi="Times New Roman" w:eastAsia="方正仿宋_GBK" w:cs="Times New Roman"/>
          <w:sz w:val="32"/>
          <w:szCs w:val="32"/>
        </w:rPr>
        <w:t>轻型疫区</w:t>
      </w:r>
      <w:bookmarkEnd w:id="88"/>
      <w:r>
        <w:rPr>
          <w:rFonts w:hint="default" w:ascii="Times New Roman" w:hAnsi="Times New Roman" w:eastAsia="方正仿宋_GBK" w:cs="Times New Roman"/>
          <w:sz w:val="32"/>
          <w:szCs w:val="32"/>
        </w:rPr>
        <w:t>、重点预防区和</w:t>
      </w:r>
      <w:r>
        <w:rPr>
          <w:rFonts w:hint="default" w:ascii="Times New Roman" w:hAnsi="Times New Roman" w:eastAsia="方正仿宋_GBK" w:cs="Times New Roman"/>
          <w:sz w:val="32"/>
          <w:szCs w:val="32"/>
          <w:lang w:eastAsia="zh-CN"/>
        </w:rPr>
        <w:t>预</w:t>
      </w:r>
      <w:r>
        <w:rPr>
          <w:rFonts w:hint="default" w:ascii="Times New Roman" w:hAnsi="Times New Roman" w:eastAsia="方正仿宋_GBK" w:cs="Times New Roman"/>
          <w:sz w:val="32"/>
          <w:szCs w:val="32"/>
        </w:rPr>
        <w:t>防</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以防控目标为导向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将发生面积大、危害程度重的疫区划为重型疫区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将发生面积小、危害程度轻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或生态区位重要必须拔除的疫区划为轻型疫区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将未发生疫情的松林分布区域划为</w:t>
      </w:r>
      <w:r>
        <w:rPr>
          <w:rFonts w:hint="default" w:ascii="Times New Roman" w:hAnsi="Times New Roman" w:eastAsia="方正仿宋_GBK" w:cs="Times New Roman"/>
          <w:sz w:val="32"/>
          <w:szCs w:val="32"/>
          <w:lang w:eastAsia="zh-CN"/>
        </w:rPr>
        <w:t>预</w:t>
      </w:r>
      <w:r>
        <w:rPr>
          <w:rFonts w:hint="default" w:ascii="Times New Roman" w:hAnsi="Times New Roman" w:eastAsia="方正仿宋_GBK" w:cs="Times New Roman"/>
          <w:sz w:val="32"/>
          <w:szCs w:val="32"/>
        </w:rPr>
        <w:t>防</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其中具有重要生态、经济、文化价值或政治影响需特别保护的区域划为重点</w:t>
      </w:r>
      <w:r>
        <w:rPr>
          <w:rFonts w:hint="default" w:ascii="Times New Roman" w:hAnsi="Times New Roman" w:eastAsia="方正仿宋_GBK" w:cs="Times New Roman"/>
          <w:sz w:val="32"/>
          <w:szCs w:val="32"/>
          <w:lang w:eastAsia="zh-CN"/>
        </w:rPr>
        <w:t>预</w:t>
      </w:r>
      <w:r>
        <w:rPr>
          <w:rFonts w:hint="default" w:ascii="Times New Roman" w:hAnsi="Times New Roman" w:eastAsia="方正仿宋_GBK" w:cs="Times New Roman"/>
          <w:sz w:val="32"/>
          <w:szCs w:val="32"/>
        </w:rPr>
        <w:t>防</w:t>
      </w:r>
      <w:r>
        <w:rPr>
          <w:rFonts w:hint="default" w:ascii="Times New Roman" w:hAnsi="Times New Roman" w:eastAsia="方正仿宋_GBK" w:cs="Times New Roman"/>
          <w:sz w:val="32"/>
          <w:szCs w:val="32"/>
          <w:lang w:val="en-US" w:eastAsia="zh-CN"/>
        </w:rPr>
        <w:t>区。</w:t>
      </w:r>
    </w:p>
    <w:p w14:paraId="5BE75F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（二）划分结果。</w:t>
      </w:r>
      <w:r>
        <w:rPr>
          <w:rFonts w:hint="default" w:ascii="Times New Roman" w:hAnsi="Times New Roman" w:eastAsia="方正仿宋_GBK" w:cs="Times New Roman"/>
          <w:sz w:val="32"/>
          <w:szCs w:val="32"/>
          <w:lang w:val="en-US" w:eastAsia="zh-CN"/>
        </w:rPr>
        <w:t>根据</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云南省</w:t>
      </w:r>
      <w:r>
        <w:rPr>
          <w:rFonts w:hint="default" w:ascii="Times New Roman" w:hAnsi="Times New Roman" w:eastAsia="方正仿宋_GBK" w:cs="Times New Roman"/>
          <w:sz w:val="32"/>
          <w:szCs w:val="32"/>
        </w:rPr>
        <w:t>松材线虫病疫情防控五年攻坚</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default" w:ascii="Times New Roman" w:hAnsi="Times New Roman" w:eastAsia="方正仿宋_GBK" w:cs="Times New Roman"/>
          <w:sz w:val="32"/>
          <w:szCs w:val="32"/>
          <w:lang w:val="en-US" w:eastAsia="zh-CN"/>
        </w:rPr>
        <w:t>划分</w:t>
      </w:r>
      <w:r>
        <w:rPr>
          <w:rFonts w:hint="eastAsia" w:ascii="Times New Roman" w:hAnsi="Times New Roman" w:eastAsia="方正仿宋_GBK" w:cs="Times New Roman"/>
          <w:sz w:val="32"/>
          <w:szCs w:val="32"/>
          <w:lang w:val="en-US" w:eastAsia="zh-CN"/>
        </w:rPr>
        <w:t>标准，结合</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西双版纳州</w:t>
      </w:r>
      <w:r>
        <w:rPr>
          <w:rFonts w:hint="default" w:ascii="Times New Roman" w:hAnsi="Times New Roman" w:eastAsia="方正仿宋_GBK" w:cs="Times New Roman"/>
          <w:sz w:val="32"/>
          <w:szCs w:val="32"/>
        </w:rPr>
        <w:t>松材线虫病疫情防控五年攻坚行动</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rPr>
        <w:t>（2021—2025年）》</w:t>
      </w:r>
      <w:r>
        <w:rPr>
          <w:rFonts w:hint="default" w:ascii="Times New Roman" w:hAnsi="Times New Roman" w:eastAsia="方正仿宋_GBK" w:cs="Times New Roman"/>
          <w:sz w:val="32"/>
          <w:szCs w:val="32"/>
          <w:lang w:val="en-US" w:eastAsia="zh-CN"/>
        </w:rPr>
        <w:t>划分情况</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景洪</w:t>
      </w:r>
      <w:r>
        <w:rPr>
          <w:rFonts w:hint="default" w:ascii="Times New Roman" w:hAnsi="Times New Roman" w:eastAsia="方正仿宋_GBK" w:cs="Times New Roman"/>
          <w:sz w:val="32"/>
          <w:szCs w:val="32"/>
          <w:lang w:val="en-US" w:eastAsia="zh-CN"/>
        </w:rPr>
        <w:t>市区划为松材线虫病疫情防控重点预防区。</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Start w:id="89" w:name="_Toc28576"/>
      <w:bookmarkStart w:id="90" w:name="_Toc24230"/>
      <w:bookmarkStart w:id="91" w:name="_Toc28212"/>
      <w:bookmarkStart w:id="92" w:name="_Toc2162"/>
      <w:bookmarkStart w:id="93" w:name="_Toc15505"/>
      <w:bookmarkStart w:id="94" w:name="_Toc18012"/>
      <w:bookmarkStart w:id="95" w:name="_Toc1897"/>
      <w:bookmarkStart w:id="96" w:name="_Toc17087"/>
      <w:bookmarkStart w:id="97" w:name="_Toc1673"/>
      <w:bookmarkStart w:id="98" w:name="_Toc19640"/>
      <w:bookmarkStart w:id="99" w:name="_Toc31194"/>
      <w:bookmarkStart w:id="100" w:name="_Toc28424"/>
      <w:bookmarkStart w:id="101" w:name="_Toc407"/>
      <w:bookmarkStart w:id="102" w:name="_Toc125"/>
      <w:bookmarkStart w:id="103" w:name="_Toc16272"/>
      <w:bookmarkStart w:id="104" w:name="_Toc11114"/>
      <w:bookmarkStart w:id="105" w:name="_Toc13605"/>
      <w:bookmarkStart w:id="106" w:name="_Toc7517"/>
      <w:bookmarkStart w:id="107" w:name="_Toc20364"/>
      <w:bookmarkStart w:id="108" w:name="_Toc1791"/>
      <w:bookmarkStart w:id="109" w:name="_Toc3193"/>
      <w:bookmarkStart w:id="110" w:name="_Toc3883"/>
    </w:p>
    <w:p w14:paraId="68DC05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bookmarkStart w:id="111" w:name="_Toc21304"/>
      <w:bookmarkStart w:id="112" w:name="_Toc14719"/>
      <w:r>
        <w:rPr>
          <w:rFonts w:hint="default" w:ascii="Times New Roman" w:hAnsi="Times New Roman" w:eastAsia="方正黑体_GBK" w:cs="Times New Roman"/>
          <w:sz w:val="32"/>
          <w:szCs w:val="32"/>
          <w:lang w:val="en-US" w:eastAsia="zh-CN"/>
        </w:rPr>
        <w:t>四、行动内容</w:t>
      </w:r>
      <w:bookmarkEnd w:id="111"/>
      <w:bookmarkEnd w:id="112"/>
    </w:p>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14:paraId="6C0D85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bookmarkStart w:id="113" w:name="_Toc2576"/>
      <w:bookmarkStart w:id="114" w:name="_Toc9573"/>
      <w:bookmarkStart w:id="115" w:name="_Toc13524"/>
      <w:bookmarkStart w:id="116" w:name="_Toc7321"/>
      <w:bookmarkStart w:id="117" w:name="_Toc2356"/>
      <w:bookmarkStart w:id="118" w:name="_Toc25064"/>
      <w:bookmarkStart w:id="119" w:name="_Toc29166"/>
      <w:bookmarkStart w:id="120" w:name="_Toc8964"/>
      <w:bookmarkStart w:id="121" w:name="_Toc22538"/>
      <w:bookmarkStart w:id="122" w:name="_Toc23882"/>
      <w:bookmarkStart w:id="123" w:name="_Toc30652"/>
      <w:bookmarkStart w:id="124" w:name="_Toc24720"/>
      <w:bookmarkStart w:id="125" w:name="_Toc13265"/>
      <w:bookmarkStart w:id="126" w:name="_Toc28122"/>
      <w:bookmarkStart w:id="127" w:name="_Toc14474"/>
      <w:bookmarkStart w:id="128" w:name="_Toc6528"/>
      <w:bookmarkStart w:id="129" w:name="_Toc12262"/>
      <w:bookmarkStart w:id="130" w:name="_Toc32548"/>
      <w:bookmarkStart w:id="131" w:name="_Toc1662"/>
      <w:bookmarkStart w:id="132" w:name="_Toc3029"/>
      <w:bookmarkStart w:id="133" w:name="_Toc18962"/>
      <w:bookmarkStart w:id="134" w:name="_Toc10655"/>
      <w:bookmarkStart w:id="135" w:name="_Toc2183"/>
      <w:bookmarkStart w:id="136" w:name="_Toc11990"/>
      <w:bookmarkStart w:id="137" w:name="_Toc5791"/>
      <w:bookmarkStart w:id="138" w:name="_Toc14486"/>
      <w:bookmarkStart w:id="139" w:name="_Toc19239"/>
      <w:bookmarkStart w:id="140" w:name="_Toc30996"/>
      <w:bookmarkStart w:id="141" w:name="_Toc31570"/>
      <w:bookmarkStart w:id="142" w:name="_Toc27361"/>
      <w:bookmarkStart w:id="143" w:name="_Toc13429"/>
      <w:bookmarkStart w:id="144" w:name="_Toc17267"/>
      <w:bookmarkStart w:id="145" w:name="_Toc15417"/>
      <w:bookmarkStart w:id="146" w:name="_Toc27460"/>
      <w:bookmarkStart w:id="147" w:name="_Toc29899"/>
      <w:bookmarkStart w:id="148" w:name="_Toc12275"/>
      <w:bookmarkStart w:id="149" w:name="_Toc2551"/>
      <w:bookmarkStart w:id="150" w:name="_Toc25512"/>
      <w:bookmarkStart w:id="151" w:name="_Toc15690"/>
      <w:bookmarkStart w:id="152" w:name="_Toc20733"/>
      <w:bookmarkStart w:id="153" w:name="_Toc21281"/>
      <w:bookmarkStart w:id="154" w:name="_Toc12339"/>
      <w:bookmarkStart w:id="155" w:name="_Toc18325"/>
      <w:bookmarkStart w:id="156" w:name="_Toc22091"/>
      <w:bookmarkStart w:id="157" w:name="_Toc27614"/>
      <w:r>
        <w:rPr>
          <w:rFonts w:hint="default" w:ascii="Times New Roman" w:hAnsi="Times New Roman" w:eastAsia="方正楷体_GBK" w:cs="Times New Roman"/>
          <w:sz w:val="32"/>
          <w:szCs w:val="32"/>
          <w:lang w:val="en-US" w:eastAsia="zh-CN"/>
        </w:rPr>
        <w:t>（一）</w:t>
      </w:r>
      <w:r>
        <w:rPr>
          <w:rFonts w:hint="eastAsia" w:ascii="Times New Roman" w:hAnsi="Times New Roman" w:eastAsia="方正楷体_GBK" w:cs="Times New Roman"/>
          <w:sz w:val="32"/>
          <w:szCs w:val="32"/>
          <w:lang w:val="en-US" w:eastAsia="zh-CN"/>
        </w:rPr>
        <w:t>林业</w:t>
      </w:r>
      <w:r>
        <w:rPr>
          <w:rFonts w:hint="default" w:ascii="Times New Roman" w:hAnsi="Times New Roman" w:eastAsia="方正楷体_GBK" w:cs="Times New Roman"/>
          <w:sz w:val="32"/>
          <w:szCs w:val="32"/>
          <w:lang w:val="en-US" w:eastAsia="zh-CN"/>
        </w:rPr>
        <w:t>植物检疫执法行动。</w:t>
      </w:r>
      <w:r>
        <w:rPr>
          <w:rFonts w:hint="default" w:ascii="Times New Roman" w:hAnsi="Times New Roman" w:eastAsia="方正仿宋_GBK" w:cs="Times New Roman"/>
          <w:b/>
          <w:bCs/>
          <w:sz w:val="32"/>
          <w:szCs w:val="32"/>
          <w:lang w:val="en-US" w:eastAsia="zh-CN"/>
        </w:rPr>
        <w:t>一是</w:t>
      </w:r>
      <w:r>
        <w:rPr>
          <w:rFonts w:hint="eastAsia" w:ascii="Times New Roman" w:hAnsi="Times New Roman" w:eastAsia="方正仿宋_GBK" w:cs="Times New Roman"/>
          <w:sz w:val="32"/>
          <w:szCs w:val="32"/>
          <w:lang w:val="en-US" w:eastAsia="zh-CN"/>
        </w:rPr>
        <w:t>林业</w:t>
      </w:r>
      <w:r>
        <w:rPr>
          <w:rFonts w:hint="default" w:ascii="Times New Roman" w:hAnsi="Times New Roman" w:eastAsia="方正仿宋_GBK" w:cs="Times New Roman"/>
          <w:sz w:val="32"/>
          <w:szCs w:val="32"/>
          <w:lang w:val="en-US" w:eastAsia="zh-CN"/>
        </w:rPr>
        <w:t>植物检疫。认真做好产地检疫、调运检疫和</w:t>
      </w:r>
      <w:r>
        <w:rPr>
          <w:rFonts w:hint="eastAsia" w:ascii="Times New Roman" w:hAnsi="Times New Roman" w:eastAsia="方正仿宋_GBK" w:cs="Times New Roman"/>
          <w:sz w:val="32"/>
          <w:szCs w:val="32"/>
          <w:lang w:val="en-US" w:eastAsia="zh-CN"/>
        </w:rPr>
        <w:t>落地</w:t>
      </w:r>
      <w:r>
        <w:rPr>
          <w:rFonts w:hint="default" w:ascii="Times New Roman" w:hAnsi="Times New Roman" w:eastAsia="方正仿宋_GBK" w:cs="Times New Roman"/>
          <w:sz w:val="32"/>
          <w:szCs w:val="32"/>
          <w:lang w:val="en-US" w:eastAsia="zh-CN"/>
        </w:rPr>
        <w:t>复检工作，对松木采伐、收购、运输、加工、经营、使用全过程监管，</w:t>
      </w:r>
      <w:r>
        <w:rPr>
          <w:rFonts w:hint="eastAsia" w:ascii="Times New Roman" w:hAnsi="Times New Roman" w:eastAsia="方正仿宋_GBK" w:cs="Times New Roman"/>
          <w:sz w:val="32"/>
          <w:szCs w:val="32"/>
          <w:lang w:val="en-US" w:eastAsia="zh-CN"/>
        </w:rPr>
        <w:t>推</w:t>
      </w:r>
      <w:r>
        <w:rPr>
          <w:rFonts w:hint="default" w:ascii="Times New Roman" w:hAnsi="Times New Roman" w:eastAsia="方正仿宋_GBK" w:cs="Times New Roman"/>
          <w:sz w:val="32"/>
          <w:szCs w:val="32"/>
          <w:lang w:val="en-US" w:eastAsia="zh-CN"/>
        </w:rPr>
        <w:t>进电网、通信、公路、铁路、水电等重大项目建设松木及其制品调运和使用联系报告制度建设，</w:t>
      </w:r>
      <w:r>
        <w:rPr>
          <w:rFonts w:hint="eastAsia" w:ascii="Times New Roman" w:hAnsi="Times New Roman" w:eastAsia="方正仿宋_GBK" w:cs="Times New Roman"/>
          <w:sz w:val="32"/>
          <w:szCs w:val="32"/>
          <w:lang w:val="en-US" w:eastAsia="zh-CN"/>
        </w:rPr>
        <w:t>完善</w:t>
      </w:r>
      <w:r>
        <w:rPr>
          <w:rFonts w:hint="default" w:ascii="Times New Roman" w:hAnsi="Times New Roman" w:eastAsia="方正仿宋_GBK" w:cs="Times New Roman"/>
          <w:sz w:val="32"/>
          <w:szCs w:val="32"/>
          <w:lang w:val="en-US" w:eastAsia="zh-CN"/>
        </w:rPr>
        <w:t>涉木企业及个人登记备案</w:t>
      </w:r>
      <w:r>
        <w:rPr>
          <w:rFonts w:hint="eastAsia" w:ascii="Times New Roman" w:hAnsi="Times New Roman" w:eastAsia="方正仿宋_GBK" w:cs="Times New Roman"/>
          <w:sz w:val="32"/>
          <w:szCs w:val="32"/>
          <w:lang w:val="en-US" w:eastAsia="zh-CN"/>
        </w:rPr>
        <w:t>制度</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配合省级推进</w:t>
      </w:r>
      <w:r>
        <w:rPr>
          <w:rFonts w:hint="default" w:ascii="Times New Roman" w:hAnsi="Times New Roman" w:eastAsia="方正仿宋_GBK" w:cs="Times New Roman"/>
          <w:sz w:val="32"/>
          <w:szCs w:val="32"/>
          <w:lang w:val="en-US" w:eastAsia="zh-CN"/>
        </w:rPr>
        <w:t>应施检疫的林业植物及其产品全过程追溯</w:t>
      </w:r>
      <w:r>
        <w:rPr>
          <w:rFonts w:hint="eastAsia" w:ascii="Times New Roman" w:hAnsi="Times New Roman" w:eastAsia="方正仿宋_GBK" w:cs="Times New Roman"/>
          <w:sz w:val="32"/>
          <w:szCs w:val="32"/>
          <w:lang w:val="en-US" w:eastAsia="zh-CN"/>
        </w:rPr>
        <w:t>平台建设</w:t>
      </w:r>
      <w:r>
        <w:rPr>
          <w:rFonts w:hint="default" w:ascii="Times New Roman" w:hAnsi="Times New Roman" w:eastAsia="方正仿宋_GBK" w:cs="Times New Roman"/>
          <w:sz w:val="32"/>
          <w:szCs w:val="32"/>
          <w:lang w:val="en-US" w:eastAsia="zh-CN"/>
        </w:rPr>
        <w:t>，定期开展检疫检查，严防检疫性林业有害生物的大面积扩散蔓延。加强电缆盘、光缆盘、木质包装材料等松木及其制品的复检，严防松材线虫病疫情传播危害。</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检疫执法。以《森林法》《森林</w:t>
      </w:r>
      <w:r>
        <w:rPr>
          <w:rFonts w:hint="eastAsia" w:ascii="Times New Roman" w:hAnsi="Times New Roman" w:eastAsia="方正仿宋_GBK" w:cs="Times New Roman"/>
          <w:sz w:val="32"/>
          <w:szCs w:val="32"/>
          <w:lang w:val="en-US" w:eastAsia="zh-CN"/>
        </w:rPr>
        <w:t>病虫害防治条例</w:t>
      </w:r>
      <w:r>
        <w:rPr>
          <w:rFonts w:hint="default" w:ascii="Times New Roman" w:hAnsi="Times New Roman" w:eastAsia="方正仿宋_GBK" w:cs="Times New Roman"/>
          <w:sz w:val="32"/>
          <w:szCs w:val="32"/>
          <w:lang w:val="en-US" w:eastAsia="zh-CN"/>
        </w:rPr>
        <w:t>》《植物检疫条例》等法律法规为依据，每年至少开展1次植物检疫执法专项行动，严厉打击妨害植物防疫、检疫犯罪活动和非法采伐、收购、运输、加工、经营、使用松材线虫病疫木及其制品行为。</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Start w:id="158" w:name="_Toc21883"/>
      <w:bookmarkStart w:id="159" w:name="_Toc26231"/>
      <w:bookmarkStart w:id="160" w:name="_Toc27781"/>
      <w:bookmarkStart w:id="161" w:name="_Toc17321"/>
      <w:bookmarkStart w:id="162" w:name="_Toc20707"/>
      <w:bookmarkStart w:id="163" w:name="_Toc6276"/>
      <w:bookmarkStart w:id="164" w:name="_Toc23264"/>
      <w:bookmarkStart w:id="165" w:name="_Toc7666"/>
      <w:bookmarkStart w:id="166" w:name="_Toc2690"/>
      <w:bookmarkStart w:id="167" w:name="_Toc5765"/>
      <w:bookmarkStart w:id="168" w:name="_Toc13907"/>
      <w:bookmarkStart w:id="169" w:name="_Toc31559"/>
      <w:bookmarkStart w:id="170" w:name="_Toc3220"/>
      <w:bookmarkStart w:id="171" w:name="_Toc30607"/>
      <w:bookmarkStart w:id="172" w:name="_Toc5320"/>
      <w:bookmarkStart w:id="173" w:name="_Toc25641"/>
      <w:bookmarkStart w:id="174" w:name="_Toc9960"/>
      <w:bookmarkStart w:id="175" w:name="_Toc11368"/>
      <w:bookmarkStart w:id="176" w:name="_Toc32452"/>
      <w:bookmarkStart w:id="177" w:name="_Toc25478"/>
      <w:bookmarkStart w:id="178" w:name="_Toc31399"/>
    </w:p>
    <w:p w14:paraId="068E77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（二）疫情精准监测行动</w:t>
      </w:r>
      <w:bookmarkEnd w:id="134"/>
      <w:bookmarkEnd w:id="135"/>
      <w:bookmarkEnd w:id="136"/>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r>
        <w:rPr>
          <w:rFonts w:hint="default" w:ascii="Times New Roman" w:hAnsi="Times New Roman" w:eastAsia="方正楷体_GBK" w:cs="Times New Roman"/>
          <w:sz w:val="32"/>
          <w:szCs w:val="32"/>
          <w:lang w:val="en-US" w:eastAsia="zh-CN"/>
        </w:rPr>
        <w:t>。</w:t>
      </w: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监测责任。</w:t>
      </w:r>
      <w:r>
        <w:rPr>
          <w:rFonts w:hint="eastAsia" w:ascii="Times New Roman" w:hAnsi="Times New Roman" w:eastAsia="方正仿宋_GBK" w:cs="Times New Roman"/>
          <w:sz w:val="32"/>
          <w:szCs w:val="32"/>
          <w:lang w:val="en-US" w:eastAsia="zh-CN"/>
        </w:rPr>
        <w:t>乡镇林业服务中心</w:t>
      </w:r>
      <w:r>
        <w:rPr>
          <w:rFonts w:hint="default" w:ascii="Times New Roman" w:hAnsi="Times New Roman" w:eastAsia="方正仿宋_GBK" w:cs="Times New Roman"/>
          <w:sz w:val="32"/>
          <w:szCs w:val="32"/>
          <w:lang w:val="en-US" w:eastAsia="zh-CN"/>
        </w:rPr>
        <w:t>要</w:t>
      </w:r>
      <w:r>
        <w:rPr>
          <w:rFonts w:hint="eastAsia" w:ascii="Times New Roman" w:hAnsi="Times New Roman" w:eastAsia="方正仿宋_GBK" w:cs="Times New Roman"/>
          <w:sz w:val="32"/>
          <w:szCs w:val="32"/>
          <w:lang w:val="en-US" w:eastAsia="zh-CN"/>
        </w:rPr>
        <w:t>切实</w:t>
      </w:r>
      <w:r>
        <w:rPr>
          <w:rFonts w:hint="default" w:ascii="Times New Roman" w:hAnsi="Times New Roman" w:eastAsia="方正仿宋_GBK" w:cs="Times New Roman"/>
          <w:sz w:val="32"/>
          <w:szCs w:val="32"/>
          <w:lang w:val="en-US" w:eastAsia="zh-CN"/>
        </w:rPr>
        <w:t>压紧压实监测责任</w:t>
      </w:r>
      <w:bookmarkStart w:id="179" w:name="_Toc23096"/>
      <w:bookmarkStart w:id="180" w:name="_Toc22067"/>
      <w:bookmarkStart w:id="181" w:name="_Toc20671"/>
      <w:bookmarkStart w:id="182" w:name="_Toc1489"/>
      <w:bookmarkStart w:id="183" w:name="_Toc19503"/>
      <w:bookmarkStart w:id="184" w:name="_Toc7769"/>
      <w:bookmarkStart w:id="185" w:name="_Toc19423"/>
      <w:r>
        <w:rPr>
          <w:rFonts w:hint="default" w:ascii="Times New Roman" w:hAnsi="Times New Roman" w:eastAsia="方正仿宋_GBK" w:cs="Times New Roman"/>
          <w:sz w:val="32"/>
          <w:szCs w:val="32"/>
          <w:lang w:val="en-US" w:eastAsia="zh-CN"/>
        </w:rPr>
        <w:t>和</w:t>
      </w:r>
      <w:r>
        <w:rPr>
          <w:rFonts w:hint="eastAsia" w:ascii="Times New Roman" w:hAnsi="Times New Roman" w:eastAsia="方正仿宋_GBK" w:cs="Times New Roman"/>
          <w:sz w:val="32"/>
          <w:szCs w:val="32"/>
          <w:lang w:val="en-US" w:eastAsia="zh-CN"/>
        </w:rPr>
        <w:t>监测员（护林员）网格化</w:t>
      </w:r>
      <w:r>
        <w:rPr>
          <w:rFonts w:hint="default" w:ascii="Times New Roman" w:hAnsi="Times New Roman" w:eastAsia="方正仿宋_GBK" w:cs="Times New Roman"/>
          <w:sz w:val="32"/>
          <w:szCs w:val="32"/>
          <w:lang w:val="en-US" w:eastAsia="zh-CN"/>
        </w:rPr>
        <w:t>管理职责，</w:t>
      </w:r>
      <w:bookmarkStart w:id="186" w:name="OLE_LINK1"/>
      <w:r>
        <w:rPr>
          <w:rFonts w:hint="default" w:ascii="Times New Roman" w:hAnsi="Times New Roman" w:eastAsia="方正仿宋_GBK" w:cs="Times New Roman"/>
          <w:sz w:val="32"/>
          <w:szCs w:val="32"/>
          <w:lang w:val="en-US" w:eastAsia="zh-CN"/>
        </w:rPr>
        <w:t>统筹乡镇</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保护区、林场管护员、护林员</w:t>
      </w:r>
      <w:r>
        <w:rPr>
          <w:rFonts w:hint="eastAsia" w:ascii="Times New Roman" w:hAnsi="Times New Roman" w:eastAsia="方正仿宋_GBK" w:cs="Times New Roman"/>
          <w:sz w:val="32"/>
          <w:szCs w:val="32"/>
          <w:lang w:val="en-US" w:eastAsia="zh-CN"/>
        </w:rPr>
        <w:t>以及</w:t>
      </w:r>
      <w:r>
        <w:rPr>
          <w:rFonts w:hint="default" w:ascii="Times New Roman" w:hAnsi="Times New Roman" w:eastAsia="方正仿宋_GBK" w:cs="Times New Roman"/>
          <w:sz w:val="32"/>
          <w:szCs w:val="32"/>
          <w:lang w:val="en-US" w:eastAsia="zh-CN"/>
        </w:rPr>
        <w:t>社会化组织等力量，</w:t>
      </w:r>
      <w:bookmarkEnd w:id="186"/>
      <w:r>
        <w:rPr>
          <w:rFonts w:hint="eastAsia" w:ascii="Times New Roman" w:hAnsi="Times New Roman" w:eastAsia="方正仿宋_GBK" w:cs="Times New Roman"/>
          <w:sz w:val="32"/>
          <w:szCs w:val="32"/>
          <w:lang w:val="en-US" w:eastAsia="zh-CN"/>
        </w:rPr>
        <w:t>对辖区内所有松林</w:t>
      </w:r>
      <w:r>
        <w:rPr>
          <w:rFonts w:hint="default" w:ascii="Times New Roman" w:hAnsi="Times New Roman" w:eastAsia="方正仿宋_GBK" w:cs="Times New Roman"/>
          <w:sz w:val="32"/>
          <w:szCs w:val="32"/>
          <w:lang w:val="en-US" w:eastAsia="zh-CN"/>
        </w:rPr>
        <w:t>开展以小班为单位的精细化疫情监测，做到监测范围全覆盖。</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日常监测</w:t>
      </w:r>
      <w:bookmarkEnd w:id="179"/>
      <w:bookmarkEnd w:id="180"/>
      <w:bookmarkEnd w:id="181"/>
      <w:bookmarkEnd w:id="182"/>
      <w:bookmarkEnd w:id="183"/>
      <w:bookmarkEnd w:id="184"/>
      <w:bookmarkEnd w:id="185"/>
      <w:r>
        <w:rPr>
          <w:rFonts w:hint="default" w:ascii="Times New Roman" w:hAnsi="Times New Roman" w:eastAsia="方正仿宋_GBK" w:cs="Times New Roman"/>
          <w:sz w:val="32"/>
          <w:szCs w:val="32"/>
          <w:lang w:val="en-US" w:eastAsia="zh-CN"/>
        </w:rPr>
        <w:t>。按照《松材线虫病防治技术方案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2021年版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》要求，以松林小班为单位，科学规划可观察全部松科植物林分的巡护巡查线路和频次，调查是否出现松树枯死、松针变色等异常情况，实施</w:t>
      </w:r>
      <w:r>
        <w:rPr>
          <w:rFonts w:hint="default" w:ascii="Times New Roman" w:hAnsi="Times New Roman" w:eastAsia="方正仿宋_GBK" w:cs="Times New Roman"/>
          <w:spacing w:val="-6"/>
          <w:kern w:val="2"/>
          <w:sz w:val="32"/>
          <w:szCs w:val="32"/>
          <w:lang w:val="en-US" w:eastAsia="zh-CN" w:bidi="ar-SA"/>
        </w:rPr>
        <w:t>全覆盖监测。</w:t>
      </w:r>
      <w:r>
        <w:rPr>
          <w:rFonts w:hint="default" w:ascii="Times New Roman" w:hAnsi="Times New Roman" w:eastAsia="方正仿宋_GBK" w:cs="Times New Roman"/>
          <w:sz w:val="32"/>
          <w:szCs w:val="32"/>
          <w:lang w:val="en-US" w:eastAsia="zh-CN"/>
        </w:rPr>
        <w:t>通信基站、公路、铁路、水电等建设工程施工区域附近，木材集散地周边以及自然保护地应重点加强日常监测。</w:t>
      </w:r>
      <w:r>
        <w:rPr>
          <w:rFonts w:hint="eastAsia" w:ascii="Times New Roman" w:hAnsi="Times New Roman" w:eastAsia="方正仿宋_GBK" w:cs="Times New Roman"/>
          <w:sz w:val="32"/>
          <w:szCs w:val="32"/>
          <w:lang w:val="en-US" w:eastAsia="zh-CN"/>
        </w:rPr>
        <w:t>乡镇林业服务中心每月应</w:t>
      </w:r>
      <w:r>
        <w:rPr>
          <w:rFonts w:hint="default" w:ascii="Times New Roman" w:hAnsi="Times New Roman" w:eastAsia="方正仿宋_GBK" w:cs="Times New Roman"/>
          <w:sz w:val="32"/>
          <w:szCs w:val="32"/>
          <w:lang w:val="en-US" w:eastAsia="zh-CN"/>
        </w:rPr>
        <w:t>向</w:t>
      </w:r>
      <w:r>
        <w:rPr>
          <w:rFonts w:hint="eastAsia" w:ascii="Times New Roman" w:hAnsi="Times New Roman" w:eastAsia="方正仿宋_GBK" w:cs="Times New Roman"/>
          <w:sz w:val="32"/>
          <w:szCs w:val="32"/>
          <w:lang w:val="en-US" w:eastAsia="zh-CN"/>
        </w:rPr>
        <w:t>市森林病虫害防治检疫站</w:t>
      </w:r>
      <w:r>
        <w:rPr>
          <w:rFonts w:hint="default" w:ascii="Times New Roman" w:hAnsi="Times New Roman" w:eastAsia="方正仿宋_GBK" w:cs="Times New Roman"/>
          <w:sz w:val="32"/>
          <w:szCs w:val="32"/>
          <w:lang w:val="en-US" w:eastAsia="zh-CN"/>
        </w:rPr>
        <w:t>报告松材线虫病疫情监测结果。</w:t>
      </w: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专项</w:t>
      </w:r>
      <w:r>
        <w:rPr>
          <w:rFonts w:hint="eastAsia" w:ascii="Times New Roman" w:hAnsi="Times New Roman" w:eastAsia="方正仿宋_GBK" w:cs="Times New Roman"/>
          <w:sz w:val="32"/>
          <w:szCs w:val="32"/>
          <w:lang w:val="en-US" w:eastAsia="zh-CN"/>
        </w:rPr>
        <w:t>普查</w:t>
      </w:r>
      <w:r>
        <w:rPr>
          <w:rFonts w:hint="default" w:ascii="Times New Roman" w:hAnsi="Times New Roman" w:eastAsia="方正仿宋_GBK" w:cs="Times New Roman"/>
          <w:sz w:val="32"/>
          <w:szCs w:val="32"/>
          <w:lang w:val="en-US" w:eastAsia="zh-CN"/>
        </w:rPr>
        <w:t>。每年</w:t>
      </w:r>
      <w:r>
        <w:rPr>
          <w:rFonts w:hint="default" w:ascii="Times New Roman" w:hAnsi="Times New Roman" w:eastAsia="方正仿宋_GBK" w:cs="Times New Roman"/>
          <w:sz w:val="32"/>
          <w:szCs w:val="32"/>
          <w:lang w:val="en-US" w:eastAsia="en-US"/>
        </w:rPr>
        <w:t>9-11</w:t>
      </w:r>
      <w:r>
        <w:rPr>
          <w:rFonts w:hint="default" w:ascii="Times New Roman" w:hAnsi="Times New Roman" w:eastAsia="方正仿宋_GBK" w:cs="Times New Roman"/>
          <w:sz w:val="32"/>
          <w:szCs w:val="32"/>
          <w:lang w:val="en-US" w:eastAsia="zh-CN"/>
        </w:rPr>
        <w:t>月组织开展1次秋季普查。按照</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全覆盖，无死角</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的工作要求，对辖区内所有松林小班开展全面详细调查，查清本辖区病死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濒死、枯死、因灾致死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松树数量、</w:t>
      </w:r>
      <w:r>
        <w:rPr>
          <w:rFonts w:hint="default" w:ascii="Times New Roman" w:hAnsi="Times New Roman" w:eastAsia="方正仿宋_GBK" w:cs="Times New Roman"/>
          <w:sz w:val="32"/>
          <w:szCs w:val="32"/>
        </w:rPr>
        <w:t>林分状况</w:t>
      </w:r>
      <w:r>
        <w:rPr>
          <w:rFonts w:hint="default" w:ascii="Times New Roman" w:hAnsi="Times New Roman" w:eastAsia="方正仿宋_GBK" w:cs="Times New Roman"/>
          <w:sz w:val="32"/>
          <w:szCs w:val="32"/>
          <w:lang w:val="en-US" w:eastAsia="zh-CN"/>
        </w:rPr>
        <w:t>等信息。每年10月</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lang w:val="en-US" w:eastAsia="zh-CN"/>
        </w:rPr>
        <w:t>日前，</w:t>
      </w:r>
      <w:r>
        <w:rPr>
          <w:rFonts w:hint="eastAsia" w:ascii="Times New Roman" w:hAnsi="Times New Roman" w:eastAsia="方正仿宋_GBK" w:cs="Times New Roman"/>
          <w:sz w:val="32"/>
          <w:szCs w:val="32"/>
          <w:lang w:val="en-US" w:eastAsia="zh-CN"/>
        </w:rPr>
        <w:t>各乡镇林业服务中心要</w:t>
      </w:r>
      <w:r>
        <w:rPr>
          <w:rFonts w:hint="default" w:ascii="Times New Roman" w:hAnsi="Times New Roman" w:eastAsia="方正仿宋_GBK" w:cs="Times New Roman"/>
          <w:sz w:val="32"/>
          <w:szCs w:val="32"/>
          <w:lang w:val="en-US" w:eastAsia="zh-CN"/>
        </w:rPr>
        <w:t>以正式文件向</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林业和草原</w:t>
      </w:r>
      <w:r>
        <w:rPr>
          <w:rFonts w:hint="eastAsia"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lang w:val="en-US" w:eastAsia="zh-CN"/>
        </w:rPr>
        <w:t>报告普查结果，</w:t>
      </w:r>
      <w:r>
        <w:rPr>
          <w:rFonts w:hint="eastAsia" w:ascii="Times New Roman" w:hAnsi="Times New Roman" w:eastAsia="方正仿宋_GBK" w:cs="Times New Roman"/>
          <w:sz w:val="32"/>
          <w:szCs w:val="32"/>
          <w:lang w:val="en-US" w:eastAsia="zh-CN"/>
        </w:rPr>
        <w:t>每年</w:t>
      </w:r>
      <w:r>
        <w:rPr>
          <w:rFonts w:hint="default" w:ascii="Times New Roman" w:hAnsi="Times New Roman" w:eastAsia="仿宋" w:cs="Times New Roman"/>
          <w:kern w:val="2"/>
          <w:sz w:val="32"/>
          <w:szCs w:val="32"/>
          <w:highlight w:val="none"/>
          <w:lang w:val="en-US" w:eastAsia="zh-CN" w:bidi="ar-SA"/>
        </w:rPr>
        <w:t>11月1</w:t>
      </w:r>
      <w:r>
        <w:rPr>
          <w:rFonts w:hint="eastAsia" w:ascii="Times New Roman" w:hAnsi="Times New Roman" w:eastAsia="仿宋" w:cs="Times New Roman"/>
          <w:kern w:val="2"/>
          <w:sz w:val="32"/>
          <w:szCs w:val="32"/>
          <w:highlight w:val="none"/>
          <w:lang w:val="en-US" w:eastAsia="zh-CN" w:bidi="ar-SA"/>
        </w:rPr>
        <w:t>0</w:t>
      </w:r>
      <w:r>
        <w:rPr>
          <w:rFonts w:hint="default" w:ascii="Times New Roman" w:hAnsi="Times New Roman" w:eastAsia="仿宋" w:cs="Times New Roman"/>
          <w:kern w:val="2"/>
          <w:sz w:val="32"/>
          <w:szCs w:val="32"/>
          <w:highlight w:val="none"/>
          <w:lang w:val="en-US" w:eastAsia="zh-CN" w:bidi="ar-SA"/>
        </w:rPr>
        <w:t>日前，</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林业和草原</w:t>
      </w:r>
      <w:r>
        <w:rPr>
          <w:rFonts w:hint="eastAsia" w:ascii="Times New Roman" w:hAnsi="Times New Roman" w:eastAsia="方正仿宋_GBK" w:cs="Times New Roman"/>
          <w:sz w:val="32"/>
          <w:szCs w:val="32"/>
          <w:lang w:val="en-US" w:eastAsia="zh-CN"/>
        </w:rPr>
        <w:t>局要</w:t>
      </w:r>
      <w:r>
        <w:rPr>
          <w:rFonts w:hint="default" w:ascii="Times New Roman" w:hAnsi="Times New Roman" w:eastAsia="仿宋" w:cs="Times New Roman"/>
          <w:kern w:val="2"/>
          <w:sz w:val="32"/>
          <w:szCs w:val="32"/>
          <w:highlight w:val="none"/>
          <w:lang w:val="en-US" w:eastAsia="zh-CN" w:bidi="ar-SA"/>
        </w:rPr>
        <w:t>以正式文件向</w:t>
      </w:r>
      <w:r>
        <w:rPr>
          <w:rFonts w:hint="eastAsia" w:ascii="Times New Roman" w:hAnsi="Times New Roman" w:eastAsia="仿宋" w:cs="Times New Roman"/>
          <w:kern w:val="2"/>
          <w:sz w:val="32"/>
          <w:szCs w:val="32"/>
          <w:highlight w:val="none"/>
          <w:lang w:val="en-US" w:eastAsia="zh-CN" w:bidi="ar-SA"/>
        </w:rPr>
        <w:t>州林业和</w:t>
      </w:r>
      <w:r>
        <w:rPr>
          <w:rFonts w:hint="default" w:ascii="Times New Roman" w:hAnsi="Times New Roman" w:eastAsia="仿宋" w:cs="Times New Roman"/>
          <w:kern w:val="2"/>
          <w:sz w:val="32"/>
          <w:szCs w:val="32"/>
          <w:lang w:val="en-US" w:eastAsia="zh-CN" w:bidi="ar-SA"/>
        </w:rPr>
        <w:t>草</w:t>
      </w:r>
      <w:r>
        <w:rPr>
          <w:rFonts w:hint="eastAsia" w:ascii="Times New Roman" w:hAnsi="Times New Roman" w:eastAsia="仿宋" w:cs="Times New Roman"/>
          <w:kern w:val="2"/>
          <w:sz w:val="32"/>
          <w:szCs w:val="32"/>
          <w:lang w:val="en-US" w:eastAsia="zh-CN" w:bidi="ar-SA"/>
        </w:rPr>
        <w:t>原</w:t>
      </w:r>
      <w:r>
        <w:rPr>
          <w:rFonts w:hint="default" w:ascii="Times New Roman" w:hAnsi="Times New Roman" w:eastAsia="仿宋" w:cs="Times New Roman"/>
          <w:kern w:val="2"/>
          <w:sz w:val="32"/>
          <w:szCs w:val="32"/>
          <w:lang w:val="en-US" w:eastAsia="zh-CN" w:bidi="ar-SA"/>
        </w:rPr>
        <w:t>局报告普查结果</w:t>
      </w:r>
      <w:r>
        <w:rPr>
          <w:rFonts w:hint="default" w:ascii="Times New Roman" w:hAnsi="Times New Roman" w:eastAsia="方正仿宋_GBK" w:cs="Times New Roman"/>
          <w:sz w:val="32"/>
          <w:szCs w:val="32"/>
          <w:lang w:val="en-US" w:eastAsia="zh-CN"/>
        </w:rPr>
        <w:t>。</w:t>
      </w:r>
      <w:bookmarkStart w:id="187" w:name="_Toc10708"/>
      <w:bookmarkStart w:id="188" w:name="_Toc2466"/>
      <w:bookmarkStart w:id="189" w:name="_Toc4147"/>
      <w:bookmarkStart w:id="190" w:name="_Toc329"/>
      <w:bookmarkStart w:id="191" w:name="_Toc9405"/>
      <w:bookmarkStart w:id="192" w:name="_Toc26842"/>
      <w:bookmarkStart w:id="193" w:name="_Toc8715"/>
      <w:bookmarkStart w:id="194" w:name="_Toc9860"/>
      <w:bookmarkStart w:id="195" w:name="_Toc2444"/>
      <w:bookmarkStart w:id="196" w:name="_Toc4169"/>
      <w:bookmarkStart w:id="197" w:name="_Toc28241"/>
      <w:bookmarkStart w:id="198" w:name="_Toc19409"/>
      <w:bookmarkStart w:id="199" w:name="_Toc23218"/>
      <w:bookmarkStart w:id="200" w:name="_Toc15312"/>
      <w:bookmarkStart w:id="201" w:name="_Toc19474"/>
      <w:bookmarkStart w:id="202" w:name="_Toc13942"/>
      <w:bookmarkStart w:id="203" w:name="_Toc13914"/>
      <w:bookmarkStart w:id="204" w:name="_Toc4414"/>
      <w:bookmarkStart w:id="205" w:name="_Toc19047"/>
      <w:bookmarkStart w:id="206" w:name="_Toc22901"/>
      <w:bookmarkStart w:id="207" w:name="_Toc13002"/>
      <w:bookmarkStart w:id="208" w:name="_Toc29601"/>
      <w:bookmarkStart w:id="209" w:name="_Toc30052"/>
      <w:bookmarkStart w:id="210" w:name="_Toc4569"/>
      <w:bookmarkStart w:id="211" w:name="_Toc10165"/>
      <w:bookmarkStart w:id="212" w:name="_Toc3256"/>
      <w:bookmarkStart w:id="213" w:name="_Toc9212"/>
      <w:bookmarkStart w:id="214" w:name="_Toc29741"/>
      <w:bookmarkStart w:id="215" w:name="_Toc9765"/>
      <w:r>
        <w:rPr>
          <w:rFonts w:hint="default" w:ascii="Times New Roman" w:hAnsi="Times New Roman" w:eastAsia="方正仿宋_GBK" w:cs="Times New Roman"/>
          <w:b/>
          <w:bCs/>
          <w:sz w:val="32"/>
          <w:szCs w:val="32"/>
          <w:lang w:val="en-US" w:eastAsia="zh-CN"/>
        </w:rPr>
        <w:t>四是</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天空地</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一体化监测。按照日常监测和专项</w:t>
      </w:r>
      <w:r>
        <w:rPr>
          <w:rFonts w:hint="eastAsia" w:ascii="Times New Roman" w:hAnsi="Times New Roman" w:eastAsia="方正仿宋_GBK" w:cs="Times New Roman"/>
          <w:sz w:val="32"/>
          <w:szCs w:val="32"/>
          <w:lang w:val="en-US" w:eastAsia="zh-CN"/>
        </w:rPr>
        <w:t>普查</w:t>
      </w:r>
      <w:r>
        <w:rPr>
          <w:rFonts w:hint="default" w:ascii="Times New Roman" w:hAnsi="Times New Roman" w:eastAsia="方正仿宋_GBK" w:cs="Times New Roman"/>
          <w:sz w:val="32"/>
          <w:szCs w:val="32"/>
          <w:lang w:val="en-US" w:eastAsia="zh-CN"/>
        </w:rPr>
        <w:t>要求，因地制宜组建监测调查队伍，配备必要的设施设备，以小班为单位进行网格化地面巡查，观察并记录松树异常情况。应用无人机、防火遥感装置等新进设备实施空中监测</w:t>
      </w:r>
      <w:r>
        <w:rPr>
          <w:rFonts w:hint="eastAsia" w:ascii="Times New Roman" w:hAnsi="Times New Roman" w:eastAsia="方正仿宋_GBK" w:cs="Times New Roman"/>
          <w:sz w:val="32"/>
          <w:szCs w:val="32"/>
          <w:lang w:val="en-US" w:eastAsia="zh-CN"/>
        </w:rPr>
        <w:t>，各乡镇林业服务中心</w:t>
      </w:r>
      <w:r>
        <w:rPr>
          <w:rFonts w:hint="default" w:ascii="Times New Roman" w:hAnsi="Times New Roman" w:eastAsia="方正仿宋_GBK" w:cs="Times New Roman"/>
          <w:sz w:val="32"/>
          <w:szCs w:val="32"/>
          <w:lang w:val="en-US" w:eastAsia="zh-CN"/>
        </w:rPr>
        <w:t>在重点林区开展抽样监测检查每年不少于1次，核查乡镇、社区、保护区、</w:t>
      </w:r>
      <w:r>
        <w:rPr>
          <w:rFonts w:hint="default" w:ascii="Times New Roman" w:hAnsi="Times New Roman" w:eastAsia="方正仿宋_GBK" w:cs="Times New Roman"/>
          <w:sz w:val="32"/>
          <w:szCs w:val="32"/>
        </w:rPr>
        <w:t>林场和护林员监测职责落实情况</w:t>
      </w:r>
      <w:r>
        <w:rPr>
          <w:rFonts w:hint="default" w:ascii="Times New Roman" w:hAnsi="Times New Roman" w:eastAsia="方正仿宋_GBK" w:cs="Times New Roman"/>
          <w:sz w:val="32"/>
          <w:szCs w:val="32"/>
          <w:lang w:eastAsia="zh-CN"/>
        </w:rPr>
        <w:t>。</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default" w:ascii="Times New Roman" w:hAnsi="Times New Roman" w:eastAsia="方正仿宋_GBK" w:cs="Times New Roman"/>
          <w:b/>
          <w:bCs/>
          <w:sz w:val="32"/>
          <w:szCs w:val="32"/>
          <w:lang w:val="en-US" w:eastAsia="zh-CN"/>
        </w:rPr>
        <w:t>五是</w:t>
      </w:r>
      <w:r>
        <w:rPr>
          <w:rFonts w:hint="default" w:ascii="Times New Roman" w:hAnsi="Times New Roman" w:eastAsia="方正仿宋_GBK" w:cs="Times New Roman"/>
          <w:sz w:val="32"/>
          <w:szCs w:val="32"/>
          <w:lang w:val="en-US" w:eastAsia="zh-CN"/>
        </w:rPr>
        <w:t>取样</w:t>
      </w:r>
      <w:bookmarkEnd w:id="213"/>
      <w:bookmarkEnd w:id="214"/>
      <w:bookmarkEnd w:id="215"/>
      <w:r>
        <w:rPr>
          <w:rFonts w:hint="default" w:ascii="Times New Roman" w:hAnsi="Times New Roman" w:eastAsia="方正仿宋_GBK" w:cs="Times New Roman"/>
          <w:sz w:val="32"/>
          <w:szCs w:val="32"/>
          <w:lang w:val="en-US" w:eastAsia="zh-CN"/>
        </w:rPr>
        <w:t>鉴定。</w:t>
      </w:r>
      <w:r>
        <w:rPr>
          <w:rFonts w:hint="eastAsia" w:ascii="Times New Roman" w:hAnsi="Times New Roman" w:eastAsia="方正仿宋_GBK" w:cs="Times New Roman"/>
          <w:sz w:val="32"/>
          <w:szCs w:val="32"/>
          <w:lang w:val="en-US" w:eastAsia="zh-CN"/>
        </w:rPr>
        <w:t>各乡镇林业服务中心</w:t>
      </w:r>
      <w:r>
        <w:rPr>
          <w:rFonts w:hint="default" w:ascii="Times New Roman" w:hAnsi="Times New Roman" w:eastAsia="方正仿宋_GBK" w:cs="Times New Roman"/>
          <w:sz w:val="32"/>
          <w:szCs w:val="32"/>
          <w:lang w:val="en-US" w:eastAsia="zh-CN"/>
        </w:rPr>
        <w:t>应按照《松材线虫病防治技术方案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2021年版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》要求，</w:t>
      </w:r>
      <w:r>
        <w:rPr>
          <w:rFonts w:hint="eastAsia" w:ascii="Times New Roman" w:hAnsi="Times New Roman" w:eastAsia="方正仿宋_GBK" w:cs="Times New Roman"/>
          <w:sz w:val="32"/>
          <w:szCs w:val="32"/>
          <w:lang w:val="en-US" w:eastAsia="zh-CN"/>
        </w:rPr>
        <w:t>做好</w:t>
      </w:r>
      <w:r>
        <w:rPr>
          <w:rFonts w:hint="default" w:ascii="Times New Roman" w:hAnsi="Times New Roman" w:eastAsia="方正仿宋_GBK" w:cs="Times New Roman"/>
          <w:sz w:val="32"/>
          <w:szCs w:val="32"/>
          <w:lang w:val="en-US" w:eastAsia="zh-CN"/>
        </w:rPr>
        <w:t>异常松树</w:t>
      </w:r>
      <w:r>
        <w:rPr>
          <w:rFonts w:hint="eastAsia" w:ascii="Times New Roman" w:hAnsi="Times New Roman" w:eastAsia="方正仿宋_GBK" w:cs="Times New Roman"/>
          <w:sz w:val="32"/>
          <w:szCs w:val="32"/>
          <w:lang w:val="en-US" w:eastAsia="zh-CN"/>
        </w:rPr>
        <w:t>的监测，并配合市森林病虫害防治检疫站采集</w:t>
      </w:r>
      <w:r>
        <w:rPr>
          <w:rFonts w:hint="default" w:ascii="Times New Roman" w:hAnsi="Times New Roman" w:eastAsia="方正仿宋_GBK" w:cs="Times New Roman"/>
          <w:sz w:val="32"/>
          <w:szCs w:val="32"/>
          <w:lang w:val="en-US" w:eastAsia="zh-CN"/>
        </w:rPr>
        <w:t>取样</w:t>
      </w:r>
      <w:r>
        <w:rPr>
          <w:rFonts w:hint="eastAsia" w:ascii="Times New Roman" w:hAnsi="Times New Roman" w:eastAsia="方正仿宋_GBK" w:cs="Times New Roman"/>
          <w:sz w:val="32"/>
          <w:szCs w:val="32"/>
          <w:lang w:val="en-US" w:eastAsia="zh-CN"/>
        </w:rPr>
        <w:t>，由市森林病虫害防治检疫站将</w:t>
      </w:r>
      <w:r>
        <w:rPr>
          <w:rFonts w:hint="default" w:ascii="Times New Roman" w:hAnsi="Times New Roman" w:eastAsia="方正仿宋_GBK" w:cs="Times New Roman"/>
          <w:sz w:val="32"/>
          <w:szCs w:val="32"/>
        </w:rPr>
        <w:t>存疑的</w:t>
      </w:r>
      <w:r>
        <w:rPr>
          <w:rFonts w:hint="default" w:ascii="Times New Roman" w:hAnsi="Times New Roman" w:eastAsia="方正仿宋_GBK" w:cs="Times New Roman"/>
          <w:sz w:val="32"/>
          <w:szCs w:val="32"/>
          <w:lang w:val="en-US" w:eastAsia="zh-CN"/>
        </w:rPr>
        <w:t>枯死松树及媒介昆虫</w:t>
      </w:r>
      <w:r>
        <w:rPr>
          <w:rFonts w:hint="default" w:ascii="Times New Roman" w:hAnsi="Times New Roman" w:eastAsia="方正仿宋_GBK" w:cs="Times New Roman"/>
          <w:sz w:val="32"/>
          <w:szCs w:val="32"/>
        </w:rPr>
        <w:t>样品送</w:t>
      </w:r>
      <w:r>
        <w:rPr>
          <w:rFonts w:hint="eastAsia" w:ascii="Times New Roman" w:hAnsi="Times New Roman" w:eastAsia="方正仿宋_GBK" w:cs="Times New Roman"/>
          <w:sz w:val="32"/>
          <w:szCs w:val="32"/>
          <w:lang w:eastAsia="zh-CN"/>
        </w:rPr>
        <w:t>往</w:t>
      </w:r>
      <w:r>
        <w:rPr>
          <w:rFonts w:hint="default" w:ascii="Times New Roman" w:hAnsi="Times New Roman" w:eastAsia="方正仿宋_GBK" w:cs="Times New Roman"/>
          <w:sz w:val="32"/>
          <w:szCs w:val="32"/>
        </w:rPr>
        <w:t>云南省林业和草原科学院</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昭通市林业和草原有害生物监测检验中心等有检测能力和资格的检测鉴定机构进行检测鉴定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确保松材线虫病疫情早发现、早报告</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bCs/>
          <w:sz w:val="32"/>
          <w:szCs w:val="32"/>
          <w:lang w:val="en-US" w:eastAsia="zh-CN"/>
        </w:rPr>
        <w:t>六是</w:t>
      </w:r>
      <w:r>
        <w:rPr>
          <w:rFonts w:hint="default" w:ascii="Times New Roman" w:hAnsi="Times New Roman" w:eastAsia="方正仿宋_GBK" w:cs="Times New Roman"/>
          <w:sz w:val="32"/>
          <w:szCs w:val="32"/>
          <w:lang w:val="en-US" w:eastAsia="zh-CN"/>
        </w:rPr>
        <w:t>疫情详查。首次发现疫情以及开展专项普查时</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要详细调查疫情发生地点、寄主种类、发生面积（以小班为单位统计，非林地松树的发生面积按实际面积统计）、病死松树数量、林分状况，并对病死松树进行精准定位，绘制疫情分布图和疫情小班分布图。调查死亡松树数量时，需将疫情小班内的枯死（濒死、因灾致死）松树一并进行调查和统计。</w:t>
      </w:r>
      <w:r>
        <w:rPr>
          <w:rFonts w:hint="default" w:ascii="Times New Roman" w:hAnsi="Times New Roman" w:eastAsia="方正仿宋_GBK" w:cs="Times New Roman"/>
          <w:b/>
          <w:bCs/>
          <w:sz w:val="32"/>
          <w:szCs w:val="32"/>
          <w:lang w:val="en-US" w:eastAsia="zh-CN"/>
        </w:rPr>
        <w:t>七是</w:t>
      </w:r>
      <w:r>
        <w:rPr>
          <w:rFonts w:hint="default" w:ascii="Times New Roman" w:hAnsi="Times New Roman" w:eastAsia="方正仿宋_GBK" w:cs="Times New Roman"/>
          <w:sz w:val="32"/>
          <w:szCs w:val="32"/>
        </w:rPr>
        <w:t>疫情防控监管平台及其移动端监测APP</w:t>
      </w:r>
      <w:r>
        <w:rPr>
          <w:rFonts w:hint="default" w:ascii="Times New Roman" w:hAnsi="Times New Roman" w:eastAsia="方正仿宋_GBK" w:cs="Times New Roman"/>
          <w:sz w:val="32"/>
          <w:szCs w:val="32"/>
          <w:lang w:val="en-US" w:eastAsia="zh-CN"/>
        </w:rPr>
        <w:t>应用。按照国家和省林草局</w:t>
      </w:r>
      <w:r>
        <w:rPr>
          <w:rFonts w:hint="default" w:ascii="Times New Roman" w:hAnsi="Times New Roman" w:eastAsia="方正仿宋_GBK" w:cs="Times New Roman"/>
          <w:sz w:val="32"/>
          <w:szCs w:val="32"/>
        </w:rPr>
        <w:t>统一</w:t>
      </w:r>
      <w:r>
        <w:rPr>
          <w:rFonts w:hint="default" w:ascii="Times New Roman" w:hAnsi="Times New Roman" w:eastAsia="方正仿宋_GBK" w:cs="Times New Roman"/>
          <w:sz w:val="32"/>
          <w:szCs w:val="32"/>
          <w:lang w:val="en-US" w:eastAsia="zh-CN"/>
        </w:rPr>
        <w:t>要求，充分运用</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林草生态网络管理感知系统松材线虫病疫情精细化监管平台</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及其手机端APP采集上传松树异常信息</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现场照片、疫情鉴定排查信息及鉴定结果报告等，实现从疫情监测到疫木除治的常态化可视化管理，及时准确掌握疫情发生底数和动态，为疫情会商、数据共享和防治决策提供支持保障。</w:t>
      </w:r>
    </w:p>
    <w:p w14:paraId="1846EB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bookmarkStart w:id="216" w:name="_Toc28853"/>
      <w:bookmarkStart w:id="217" w:name="_Toc11239"/>
      <w:bookmarkStart w:id="218" w:name="_Toc17111"/>
      <w:bookmarkStart w:id="219" w:name="_Toc23"/>
      <w:bookmarkStart w:id="220" w:name="_Toc16382"/>
      <w:bookmarkStart w:id="221" w:name="_Toc22178"/>
      <w:bookmarkStart w:id="222" w:name="_Toc683"/>
      <w:bookmarkStart w:id="223" w:name="_Toc12501"/>
      <w:bookmarkStart w:id="224" w:name="_Toc12371"/>
      <w:bookmarkStart w:id="225" w:name="_Toc16266"/>
      <w:bookmarkStart w:id="226" w:name="_Toc26515"/>
      <w:bookmarkStart w:id="227" w:name="_Toc15559"/>
      <w:bookmarkStart w:id="228" w:name="_Toc6819"/>
      <w:bookmarkStart w:id="229" w:name="_Toc12276"/>
      <w:bookmarkStart w:id="230" w:name="_Toc1604"/>
      <w:bookmarkStart w:id="231" w:name="_Toc18279"/>
      <w:bookmarkStart w:id="232" w:name="_Toc21784"/>
      <w:bookmarkStart w:id="233" w:name="_Toc10915"/>
      <w:bookmarkStart w:id="234" w:name="_Toc21727"/>
      <w:bookmarkStart w:id="235" w:name="_Toc2889"/>
      <w:bookmarkStart w:id="236" w:name="_Toc13147"/>
      <w:r>
        <w:rPr>
          <w:rFonts w:hint="default" w:ascii="Times New Roman" w:hAnsi="Times New Roman" w:eastAsia="方正楷体_GBK" w:cs="Times New Roman"/>
          <w:sz w:val="32"/>
          <w:szCs w:val="32"/>
          <w:lang w:val="en-US" w:eastAsia="zh-CN"/>
        </w:rPr>
        <w:t>（三）疫情报告核</w:t>
      </w:r>
      <w:bookmarkStart w:id="420" w:name="_GoBack"/>
      <w:bookmarkEnd w:id="420"/>
      <w:r>
        <w:rPr>
          <w:rFonts w:hint="default" w:ascii="Times New Roman" w:hAnsi="Times New Roman" w:eastAsia="方正楷体_GBK" w:cs="Times New Roman"/>
          <w:sz w:val="32"/>
          <w:szCs w:val="32"/>
          <w:lang w:val="en-US" w:eastAsia="zh-CN"/>
        </w:rPr>
        <w:t>查</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hint="default" w:ascii="Times New Roman" w:hAnsi="Times New Roman" w:eastAsia="方正楷体_GBK" w:cs="Times New Roman"/>
          <w:sz w:val="32"/>
          <w:szCs w:val="32"/>
          <w:lang w:val="en-US" w:eastAsia="zh-CN"/>
        </w:rPr>
        <w:t>行动。</w:t>
      </w:r>
      <w:bookmarkStart w:id="237" w:name="_Toc15243"/>
      <w:bookmarkStart w:id="238" w:name="_Toc25280"/>
      <w:bookmarkStart w:id="239" w:name="_Toc3952"/>
      <w:bookmarkStart w:id="240" w:name="_Toc1707"/>
      <w:bookmarkStart w:id="241" w:name="_Toc31391"/>
      <w:bookmarkStart w:id="242" w:name="_Toc14759"/>
      <w:bookmarkStart w:id="243" w:name="_Toc5919"/>
      <w:bookmarkStart w:id="244" w:name="_Toc11459"/>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疫情确认</w:t>
      </w:r>
      <w:bookmarkEnd w:id="237"/>
      <w:bookmarkEnd w:id="238"/>
      <w:bookmarkEnd w:id="239"/>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采集的枯死松树、松褐天牛样品，送具有检测能力和资格的检测鉴定机构进行检测鉴定，鉴定出样品含有松材线虫，即确认疫情或确认疫情继续存在。</w:t>
      </w:r>
      <w:bookmarkStart w:id="245" w:name="_Toc7958"/>
      <w:bookmarkStart w:id="246" w:name="_Toc31464"/>
      <w:bookmarkStart w:id="247" w:name="_Toc26591"/>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新发疫情报告</w:t>
      </w:r>
      <w:bookmarkEnd w:id="245"/>
      <w:bookmarkEnd w:id="246"/>
      <w:bookmarkEnd w:id="247"/>
      <w:r>
        <w:rPr>
          <w:rFonts w:hint="default" w:ascii="Times New Roman" w:hAnsi="Times New Roman" w:eastAsia="方正仿宋_GBK" w:cs="Times New Roman"/>
          <w:sz w:val="32"/>
          <w:szCs w:val="32"/>
          <w:lang w:val="en-US" w:eastAsia="zh-CN"/>
        </w:rPr>
        <w:t>。</w:t>
      </w:r>
      <w:r>
        <w:rPr>
          <w:rFonts w:hint="default" w:ascii="Times New Roman" w:hAnsi="Times New Roman" w:eastAsia="仿宋" w:cs="Times New Roman"/>
          <w:color w:val="auto"/>
          <w:kern w:val="2"/>
          <w:sz w:val="32"/>
          <w:szCs w:val="32"/>
          <w:lang w:val="en-US" w:eastAsia="zh-CN" w:bidi="ar-SA"/>
        </w:rPr>
        <w:t>经初检疑似新发松材线虫病疫情的，</w:t>
      </w:r>
      <w:r>
        <w:rPr>
          <w:rFonts w:hint="eastAsia" w:ascii="Times New Roman" w:hAnsi="Times New Roman" w:eastAsia="仿宋" w:cs="Times New Roman"/>
          <w:color w:val="auto"/>
          <w:kern w:val="2"/>
          <w:sz w:val="32"/>
          <w:szCs w:val="32"/>
          <w:lang w:val="en-US" w:eastAsia="zh-CN" w:bidi="ar-SA"/>
        </w:rPr>
        <w:t>市</w:t>
      </w:r>
      <w:r>
        <w:rPr>
          <w:rFonts w:hint="eastAsia" w:ascii="Times New Roman" w:hAnsi="Times New Roman" w:eastAsia="方正仿宋_GBK" w:cs="Times New Roman"/>
          <w:sz w:val="32"/>
          <w:szCs w:val="32"/>
          <w:lang w:val="en-US" w:eastAsia="zh-CN"/>
        </w:rPr>
        <w:t>林业和草原局</w:t>
      </w:r>
      <w:r>
        <w:rPr>
          <w:rFonts w:hint="default" w:ascii="Times New Roman" w:hAnsi="Times New Roman" w:eastAsia="方正仿宋_GBK" w:cs="Times New Roman"/>
          <w:sz w:val="32"/>
          <w:szCs w:val="32"/>
          <w:lang w:val="en-US" w:eastAsia="zh-CN"/>
        </w:rPr>
        <w:t>应立即牵头赴实地开展核查，并按有关规定向</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人民政府、</w:t>
      </w:r>
      <w:r>
        <w:rPr>
          <w:rFonts w:hint="eastAsia" w:ascii="Times New Roman" w:hAnsi="Times New Roman" w:eastAsia="方正仿宋_GBK" w:cs="Times New Roman"/>
          <w:sz w:val="32"/>
          <w:szCs w:val="32"/>
          <w:lang w:val="en-US" w:eastAsia="zh-CN"/>
        </w:rPr>
        <w:t>州</w:t>
      </w:r>
      <w:r>
        <w:rPr>
          <w:rFonts w:hint="default" w:ascii="Times New Roman" w:hAnsi="Times New Roman" w:eastAsia="方正仿宋_GBK" w:cs="Times New Roman"/>
          <w:sz w:val="32"/>
          <w:szCs w:val="32"/>
          <w:lang w:val="en-US" w:eastAsia="zh-CN"/>
        </w:rPr>
        <w:t>林草局报告。经检测鉴定确认为松材线虫病疫情的，</w:t>
      </w:r>
      <w:r>
        <w:rPr>
          <w:rFonts w:hint="eastAsia" w:ascii="Times New Roman" w:hAnsi="Times New Roman" w:eastAsia="仿宋" w:cs="Times New Roman"/>
          <w:color w:val="auto"/>
          <w:kern w:val="2"/>
          <w:sz w:val="32"/>
          <w:szCs w:val="32"/>
          <w:lang w:val="en-US" w:eastAsia="zh-CN" w:bidi="ar-SA"/>
        </w:rPr>
        <w:t>市</w:t>
      </w:r>
      <w:r>
        <w:rPr>
          <w:rFonts w:hint="eastAsia" w:ascii="Times New Roman" w:hAnsi="Times New Roman" w:eastAsia="方正仿宋_GBK" w:cs="Times New Roman"/>
          <w:sz w:val="32"/>
          <w:szCs w:val="32"/>
          <w:lang w:val="en-US" w:eastAsia="zh-CN"/>
        </w:rPr>
        <w:t>林业和草原局</w:t>
      </w:r>
      <w:r>
        <w:rPr>
          <w:rFonts w:hint="default" w:ascii="Times New Roman" w:hAnsi="Times New Roman" w:eastAsia="方正仿宋_GBK" w:cs="Times New Roman"/>
          <w:sz w:val="32"/>
          <w:szCs w:val="32"/>
          <w:lang w:val="en-US" w:eastAsia="zh-CN"/>
        </w:rPr>
        <w:t>应立即按照</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应急周报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要求及途径报送基本情况，正式报告由</w:t>
      </w:r>
      <w:r>
        <w:rPr>
          <w:rFonts w:hint="eastAsia"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lang w:val="en-US" w:eastAsia="zh-CN"/>
        </w:rPr>
        <w:t>人民政府逐级上报。每级</w:t>
      </w:r>
      <w:r>
        <w:rPr>
          <w:rFonts w:hint="default" w:ascii="Times New Roman" w:hAnsi="Times New Roman" w:eastAsia="仿宋" w:cs="Times New Roman"/>
          <w:sz w:val="32"/>
          <w:szCs w:val="32"/>
          <w:lang w:val="en-US" w:eastAsia="zh-CN"/>
        </w:rPr>
        <w:t>松材线虫病</w:t>
      </w:r>
      <w:r>
        <w:rPr>
          <w:rFonts w:hint="default" w:ascii="Times New Roman" w:hAnsi="Times New Roman" w:eastAsia="仿宋" w:cs="Times New Roman"/>
          <w:sz w:val="32"/>
          <w:szCs w:val="32"/>
        </w:rPr>
        <w:t>疫情发生地点、寄主种类、面积、病死松树数量等情况报告</w:t>
      </w:r>
      <w:r>
        <w:rPr>
          <w:rFonts w:hint="default" w:ascii="Times New Roman" w:hAnsi="Times New Roman" w:eastAsia="方正仿宋_GBK" w:cs="Times New Roman"/>
          <w:sz w:val="32"/>
          <w:szCs w:val="32"/>
          <w:lang w:val="en-US" w:eastAsia="zh-CN"/>
        </w:rPr>
        <w:t>上报时间不超过</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个工作日。</w:t>
      </w:r>
      <w:bookmarkEnd w:id="240"/>
      <w:bookmarkEnd w:id="241"/>
      <w:bookmarkEnd w:id="242"/>
      <w:bookmarkEnd w:id="243"/>
      <w:bookmarkEnd w:id="244"/>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疫情信息管理。各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要强化</w:t>
      </w:r>
      <w:r>
        <w:rPr>
          <w:rFonts w:hint="default" w:ascii="Times New Roman" w:hAnsi="Times New Roman" w:eastAsia="方正仿宋_GBK" w:cs="Times New Roman"/>
          <w:sz w:val="32"/>
          <w:szCs w:val="32"/>
        </w:rPr>
        <w:t>疫情信息公开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严格执行新发疫情应急报告</w:t>
      </w:r>
      <w:r>
        <w:rPr>
          <w:rFonts w:hint="default" w:ascii="Times New Roman" w:hAnsi="Times New Roman" w:eastAsia="方正仿宋_GBK" w:cs="Times New Roman"/>
          <w:sz w:val="32"/>
          <w:szCs w:val="32"/>
        </w:rPr>
        <w:t>制度，</w:t>
      </w:r>
      <w:r>
        <w:rPr>
          <w:rFonts w:hint="default" w:ascii="Times New Roman" w:hAnsi="Times New Roman" w:eastAsia="方正仿宋_GBK" w:cs="Times New Roman"/>
          <w:sz w:val="32"/>
          <w:szCs w:val="32"/>
          <w:lang w:val="en-US" w:eastAsia="zh-CN"/>
        </w:rPr>
        <w:t>加强</w:t>
      </w:r>
      <w:r>
        <w:rPr>
          <w:rFonts w:hint="default" w:ascii="Times New Roman" w:hAnsi="Times New Roman" w:eastAsia="方正仿宋_GBK" w:cs="Times New Roman"/>
          <w:sz w:val="32"/>
          <w:szCs w:val="32"/>
        </w:rPr>
        <w:t>疫情数据</w:t>
      </w:r>
      <w:r>
        <w:rPr>
          <w:rFonts w:hint="default" w:ascii="Times New Roman" w:hAnsi="Times New Roman" w:eastAsia="方正仿宋_GBK" w:cs="Times New Roman"/>
          <w:sz w:val="32"/>
          <w:szCs w:val="32"/>
          <w:lang w:val="en-US" w:eastAsia="zh-CN"/>
        </w:rPr>
        <w:t>管理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强化疫情信息核查核实。</w:t>
      </w:r>
      <w:r>
        <w:rPr>
          <w:rFonts w:hint="default" w:ascii="Times New Roman" w:hAnsi="Times New Roman" w:eastAsia="方正仿宋_GBK" w:cs="Times New Roman"/>
          <w:sz w:val="32"/>
          <w:szCs w:val="32"/>
        </w:rPr>
        <w:t>未经</w:t>
      </w:r>
      <w:r>
        <w:rPr>
          <w:rFonts w:hint="eastAsia"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林业和草原</w:t>
      </w:r>
      <w:r>
        <w:rPr>
          <w:rFonts w:hint="eastAsia" w:ascii="Times New Roman" w:hAnsi="Times New Roman" w:eastAsia="方正仿宋_GBK" w:cs="Times New Roman"/>
          <w:sz w:val="32"/>
          <w:szCs w:val="32"/>
          <w:lang w:eastAsia="zh-CN"/>
        </w:rPr>
        <w:t>局确认，景洪市</w:t>
      </w:r>
      <w:r>
        <w:rPr>
          <w:rFonts w:hint="default" w:ascii="Times New Roman" w:hAnsi="Times New Roman" w:eastAsia="方正仿宋_GBK" w:cs="Times New Roman"/>
          <w:sz w:val="32"/>
          <w:szCs w:val="32"/>
        </w:rPr>
        <w:t>人民政府批准，</w:t>
      </w:r>
      <w:r>
        <w:rPr>
          <w:rFonts w:hint="default" w:ascii="Times New Roman" w:hAnsi="Times New Roman" w:eastAsia="方正仿宋_GBK" w:cs="Times New Roman"/>
          <w:sz w:val="32"/>
          <w:szCs w:val="32"/>
          <w:lang w:val="en-US" w:eastAsia="zh-CN"/>
        </w:rPr>
        <w:t>严禁</w:t>
      </w:r>
      <w:r>
        <w:rPr>
          <w:rFonts w:hint="default" w:ascii="Times New Roman" w:hAnsi="Times New Roman" w:eastAsia="方正仿宋_GBK" w:cs="Times New Roman"/>
          <w:sz w:val="32"/>
          <w:szCs w:val="32"/>
        </w:rPr>
        <w:t>发布疫情信息。</w:t>
      </w:r>
    </w:p>
    <w:p w14:paraId="486FC3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bookmarkStart w:id="248" w:name="_Toc24074"/>
      <w:bookmarkStart w:id="249" w:name="_Toc76"/>
      <w:bookmarkStart w:id="250" w:name="_Toc1211"/>
      <w:bookmarkStart w:id="251" w:name="_Toc14818"/>
      <w:bookmarkStart w:id="252" w:name="_Toc23277"/>
      <w:bookmarkStart w:id="253" w:name="_Toc7217"/>
      <w:bookmarkStart w:id="254" w:name="_Toc15994"/>
      <w:bookmarkStart w:id="255" w:name="_Toc32061"/>
      <w:bookmarkStart w:id="256" w:name="_Toc966"/>
      <w:bookmarkStart w:id="257" w:name="_Toc19235"/>
      <w:bookmarkStart w:id="258" w:name="_Toc15737"/>
      <w:bookmarkStart w:id="259" w:name="_Toc28848"/>
      <w:bookmarkStart w:id="260" w:name="_Toc6626"/>
      <w:bookmarkStart w:id="261" w:name="_Toc8943"/>
      <w:bookmarkStart w:id="262" w:name="_Toc9541"/>
      <w:bookmarkStart w:id="263" w:name="_Toc19809"/>
      <w:bookmarkStart w:id="264" w:name="_Toc5624"/>
      <w:bookmarkStart w:id="265" w:name="_Toc30304"/>
      <w:bookmarkStart w:id="266" w:name="_Toc18716"/>
      <w:bookmarkStart w:id="267" w:name="_Toc8882"/>
      <w:bookmarkStart w:id="268" w:name="_Toc32300"/>
      <w:bookmarkStart w:id="269" w:name="_Toc17339"/>
      <w:bookmarkStart w:id="270" w:name="_Toc24011"/>
      <w:bookmarkStart w:id="271" w:name="_Toc8523"/>
      <w:r>
        <w:rPr>
          <w:rFonts w:hint="default" w:ascii="Times New Roman" w:hAnsi="Times New Roman" w:eastAsia="方正楷体_GBK" w:cs="Times New Roman"/>
          <w:sz w:val="32"/>
          <w:szCs w:val="32"/>
          <w:lang w:val="en-US" w:eastAsia="zh-CN"/>
        </w:rPr>
        <w:t>（四）疫源封锁管控行动</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r>
        <w:rPr>
          <w:rFonts w:hint="default" w:ascii="Times New Roman" w:hAnsi="Times New Roman" w:eastAsia="方正楷体_GBK" w:cs="Times New Roman"/>
          <w:sz w:val="32"/>
          <w:szCs w:val="32"/>
          <w:lang w:val="en-US" w:eastAsia="zh-CN"/>
        </w:rPr>
        <w:t>。</w:t>
      </w:r>
      <w:bookmarkStart w:id="272" w:name="_Toc7143"/>
      <w:bookmarkStart w:id="273" w:name="_Toc2422"/>
      <w:bookmarkStart w:id="274" w:name="_Toc29590"/>
      <w:bookmarkStart w:id="275" w:name="_Toc32179"/>
      <w:bookmarkStart w:id="276" w:name="_Toc13692"/>
      <w:bookmarkStart w:id="277" w:name="_Toc13419"/>
      <w:bookmarkStart w:id="278" w:name="_Toc25200"/>
      <w:bookmarkStart w:id="279" w:name="_Toc12815"/>
      <w:bookmarkStart w:id="280" w:name="_Toc12330"/>
      <w:bookmarkStart w:id="281" w:name="_Toc17039"/>
      <w:bookmarkStart w:id="282" w:name="_Toc492"/>
      <w:bookmarkStart w:id="283" w:name="_Toc14900"/>
      <w:bookmarkStart w:id="284" w:name="_Toc755"/>
      <w:bookmarkStart w:id="285" w:name="_Toc804"/>
      <w:bookmarkStart w:id="286" w:name="_Toc28675"/>
      <w:bookmarkStart w:id="287" w:name="_Toc1276"/>
      <w:bookmarkStart w:id="288" w:name="_Toc25547"/>
      <w:bookmarkStart w:id="289" w:name="_Toc3356"/>
      <w:bookmarkStart w:id="290" w:name="_Toc30260"/>
      <w:bookmarkStart w:id="291" w:name="_Toc29334"/>
      <w:bookmarkStart w:id="292" w:name="_Toc23545"/>
      <w:bookmarkStart w:id="293" w:name="_Toc31362"/>
      <w:bookmarkStart w:id="294" w:name="_Toc12181"/>
      <w:bookmarkStart w:id="295" w:name="_Toc15136"/>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疫木清理监管。</w:t>
      </w:r>
      <w:r>
        <w:rPr>
          <w:rFonts w:hint="eastAsia" w:ascii="Times New Roman" w:hAnsi="Times New Roman" w:eastAsia="方正仿宋_GBK" w:cs="Times New Roman"/>
          <w:sz w:val="32"/>
          <w:szCs w:val="32"/>
          <w:lang w:val="en-US" w:eastAsia="zh-CN"/>
        </w:rPr>
        <w:t>发生疫情时，</w:t>
      </w:r>
      <w:r>
        <w:rPr>
          <w:rFonts w:hint="default" w:ascii="Times New Roman" w:hAnsi="Times New Roman" w:eastAsia="方正仿宋_GBK" w:cs="Times New Roman"/>
          <w:sz w:val="32"/>
          <w:szCs w:val="32"/>
          <w:lang w:val="en-US" w:eastAsia="zh-CN"/>
        </w:rPr>
        <w:t>疫区实施全方位、无死角的疫木清零行动</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对山场除治、疫木下山运输、无害化处理、安全利用等进行全过程监管</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明确责任人</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严防疫木流失。在疫情除治期结束前</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彻底清理除治迹地、疫木加工企业、农户房前屋后等场所疫木</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实现疫木清零。</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疫情封锁。山场除治坚持先封后清原则</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落实疫情山场管控责任。科学布设检疫检查站点</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强化疫情检疫阻截</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加大松科植物及其制品复检力度</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严防疫情人为传播。疫区除治山场可设置除治标识，内容包括除治地点、除治面积、除治株数、除治方式、作业单位、安全提示、监督电话等信息。</w:t>
      </w: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疫情追溯。</w:t>
      </w:r>
      <w:r>
        <w:rPr>
          <w:rFonts w:hint="default" w:ascii="Times New Roman" w:hAnsi="Times New Roman" w:eastAsia="方正仿宋_GBK" w:cs="Times New Roman"/>
          <w:sz w:val="32"/>
          <w:szCs w:val="32"/>
        </w:rPr>
        <w:t>建立</w:t>
      </w:r>
      <w:r>
        <w:rPr>
          <w:rFonts w:hint="eastAsia" w:ascii="方正仿宋_GBK" w:hAnsi="方正仿宋_GBK" w:eastAsia="方正仿宋_GBK" w:cs="方正仿宋_GBK"/>
          <w:sz w:val="32"/>
          <w:szCs w:val="32"/>
        </w:rPr>
        <w:t>疫木清理、烧毁等除治台账</w:t>
      </w:r>
      <w:r>
        <w:rPr>
          <w:rFonts w:hint="default" w:ascii="Times New Roman" w:hAnsi="Times New Roman" w:eastAsia="仿宋" w:cs="Times New Roman"/>
          <w:sz w:val="32"/>
          <w:szCs w:val="32"/>
        </w:rPr>
        <w:t>，</w:t>
      </w:r>
      <w:r>
        <w:rPr>
          <w:rFonts w:hint="default" w:ascii="Times New Roman" w:hAnsi="Times New Roman" w:eastAsia="方正仿宋_GBK" w:cs="Times New Roman"/>
          <w:sz w:val="32"/>
          <w:szCs w:val="32"/>
        </w:rPr>
        <w:t>健全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谁签字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谁负责</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的责任追溯制度。组织开展疫情源头追溯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对林区</w:t>
      </w:r>
      <w:r>
        <w:rPr>
          <w:rFonts w:hint="default" w:ascii="Times New Roman" w:hAnsi="Times New Roman" w:eastAsia="方正仿宋_GBK" w:cs="Times New Roman"/>
          <w:sz w:val="32"/>
          <w:szCs w:val="32"/>
          <w:lang w:val="en-US" w:eastAsia="zh-CN"/>
        </w:rPr>
        <w:t>内</w:t>
      </w:r>
      <w:r>
        <w:rPr>
          <w:rFonts w:hint="default" w:ascii="Times New Roman" w:hAnsi="Times New Roman" w:eastAsia="方正仿宋_GBK" w:cs="Times New Roman"/>
          <w:sz w:val="32"/>
          <w:szCs w:val="32"/>
        </w:rPr>
        <w:t>架设电缆、光缆、高压线，高速公路、铁路建设工程项目</w:t>
      </w:r>
      <w:r>
        <w:rPr>
          <w:rFonts w:hint="default" w:ascii="Times New Roman" w:hAnsi="Times New Roman" w:eastAsia="方正仿宋_GBK" w:cs="Times New Roman"/>
          <w:sz w:val="32"/>
          <w:szCs w:val="32"/>
          <w:lang w:val="en-US" w:eastAsia="zh-CN"/>
        </w:rPr>
        <w:t>等</w:t>
      </w:r>
      <w:r>
        <w:rPr>
          <w:rFonts w:hint="default" w:ascii="Times New Roman" w:hAnsi="Times New Roman" w:eastAsia="方正仿宋_GBK" w:cs="Times New Roman"/>
          <w:sz w:val="32"/>
          <w:szCs w:val="32"/>
        </w:rPr>
        <w:t>拉网式排查，甄别媒介昆虫蛀食（入侵孔）、木材蓝变等松材线虫病疫木典型特征，进行取样</w:t>
      </w:r>
      <w:r>
        <w:rPr>
          <w:rFonts w:hint="default" w:ascii="Times New Roman" w:hAnsi="Times New Roman" w:eastAsia="方正仿宋_GBK" w:cs="Times New Roman"/>
          <w:sz w:val="32"/>
          <w:szCs w:val="32"/>
          <w:lang w:val="en-US" w:eastAsia="zh-CN"/>
        </w:rPr>
        <w:t>鉴定</w:t>
      </w:r>
      <w:r>
        <w:rPr>
          <w:rFonts w:hint="default" w:ascii="Times New Roman" w:hAnsi="Times New Roman" w:eastAsia="方正仿宋_GBK" w:cs="Times New Roman"/>
          <w:sz w:val="32"/>
          <w:szCs w:val="32"/>
        </w:rPr>
        <w:t>，结合疫情发生、分布的实际情况，查明</w:t>
      </w:r>
      <w:r>
        <w:rPr>
          <w:rFonts w:hint="default" w:ascii="Times New Roman" w:hAnsi="Times New Roman" w:eastAsia="方正仿宋_GBK" w:cs="Times New Roman"/>
          <w:sz w:val="32"/>
          <w:szCs w:val="32"/>
          <w:lang w:val="en-US" w:eastAsia="zh-CN"/>
        </w:rPr>
        <w:t>传入</w:t>
      </w:r>
      <w:r>
        <w:rPr>
          <w:rFonts w:hint="default" w:ascii="Times New Roman" w:hAnsi="Times New Roman" w:eastAsia="方正仿宋_GBK" w:cs="Times New Roman"/>
          <w:sz w:val="32"/>
          <w:szCs w:val="32"/>
        </w:rPr>
        <w:t>途径</w:t>
      </w:r>
      <w:r>
        <w:rPr>
          <w:rFonts w:hint="default" w:ascii="Times New Roman" w:hAnsi="Times New Roman" w:eastAsia="方正仿宋_GBK" w:cs="Times New Roman"/>
          <w:sz w:val="32"/>
          <w:szCs w:val="32"/>
          <w:lang w:val="en-US" w:eastAsia="zh-CN"/>
        </w:rPr>
        <w:t>和方式等情况</w:t>
      </w:r>
      <w:r>
        <w:rPr>
          <w:rFonts w:hint="default" w:ascii="Times New Roman" w:hAnsi="Times New Roman" w:eastAsia="方正仿宋_GBK" w:cs="Times New Roman"/>
          <w:sz w:val="32"/>
          <w:szCs w:val="32"/>
        </w:rPr>
        <w:t>。</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14:paraId="274CDD1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（五）除治质量提升行动。</w:t>
      </w:r>
      <w:r>
        <w:rPr>
          <w:rFonts w:hint="eastAsia" w:ascii="方正仿宋_GBK" w:hAnsi="方正仿宋_GBK" w:eastAsia="方正仿宋_GBK" w:cs="方正仿宋_GBK"/>
          <w:b/>
          <w:bCs/>
          <w:sz w:val="32"/>
          <w:szCs w:val="32"/>
          <w:lang w:val="en-US" w:eastAsia="zh-CN"/>
        </w:rPr>
        <w:t>一是</w:t>
      </w:r>
      <w:r>
        <w:rPr>
          <w:rFonts w:hint="default" w:ascii="Times New Roman" w:hAnsi="Times New Roman" w:eastAsia="方正仿宋_GBK" w:cs="Times New Roman"/>
          <w:sz w:val="32"/>
          <w:szCs w:val="32"/>
          <w:lang w:val="en-US" w:eastAsia="zh-CN"/>
        </w:rPr>
        <w:t>防治方案制定。</w:t>
      </w:r>
      <w:r>
        <w:rPr>
          <w:rFonts w:hint="eastAsia" w:ascii="Times New Roman" w:hAnsi="Times New Roman" w:eastAsia="方正仿宋_GBK" w:cs="Times New Roman"/>
          <w:sz w:val="32"/>
          <w:szCs w:val="32"/>
          <w:lang w:val="en-US" w:eastAsia="zh-CN"/>
        </w:rPr>
        <w:t>各乡镇</w:t>
      </w:r>
      <w:r>
        <w:rPr>
          <w:rFonts w:hint="default" w:ascii="Times New Roman" w:hAnsi="Times New Roman" w:eastAsia="方正仿宋_GBK" w:cs="Times New Roman"/>
          <w:sz w:val="32"/>
          <w:szCs w:val="32"/>
          <w:lang w:val="en-US" w:eastAsia="zh-CN"/>
        </w:rPr>
        <w:t>松材线虫病防治方案由</w:t>
      </w:r>
      <w:r>
        <w:rPr>
          <w:rFonts w:hint="eastAsia" w:ascii="Times New Roman" w:hAnsi="Times New Roman" w:eastAsia="方正仿宋_GBK" w:cs="Times New Roman"/>
          <w:sz w:val="32"/>
          <w:szCs w:val="32"/>
          <w:lang w:val="en-US" w:eastAsia="zh-CN"/>
        </w:rPr>
        <w:t>各乡镇</w:t>
      </w:r>
      <w:r>
        <w:rPr>
          <w:rFonts w:hint="default" w:ascii="Times New Roman" w:hAnsi="Times New Roman" w:eastAsia="方正仿宋_GBK" w:cs="Times New Roman"/>
          <w:sz w:val="32"/>
          <w:szCs w:val="32"/>
          <w:lang w:val="en-US" w:eastAsia="zh-CN"/>
        </w:rPr>
        <w:t>人民政府组织制定，经</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林业和草原</w:t>
      </w:r>
      <w:r>
        <w:rPr>
          <w:rFonts w:hint="eastAsia"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lang w:val="en-US" w:eastAsia="zh-CN"/>
        </w:rPr>
        <w:t>审核，报</w:t>
      </w:r>
      <w:r>
        <w:rPr>
          <w:rFonts w:hint="eastAsia" w:ascii="Times New Roman" w:hAnsi="Times New Roman" w:eastAsia="方正仿宋_GBK" w:cs="Times New Roman"/>
          <w:sz w:val="32"/>
          <w:szCs w:val="32"/>
          <w:lang w:val="en-US" w:eastAsia="zh-CN"/>
        </w:rPr>
        <w:t>州</w:t>
      </w:r>
      <w:r>
        <w:rPr>
          <w:rFonts w:hint="default" w:ascii="Times New Roman" w:hAnsi="Times New Roman" w:eastAsia="方正仿宋_GBK" w:cs="Times New Roman"/>
          <w:sz w:val="32"/>
          <w:szCs w:val="32"/>
          <w:lang w:val="en-US" w:eastAsia="zh-CN"/>
        </w:rPr>
        <w:t>林业和草原</w:t>
      </w:r>
      <w:r>
        <w:rPr>
          <w:rFonts w:hint="eastAsia"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lang w:val="en-US" w:eastAsia="zh-CN"/>
        </w:rPr>
        <w:t>审定后组织实施。各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可依据审定的防治方案，同步办理林木采伐许可证。</w:t>
      </w:r>
      <w:r>
        <w:rPr>
          <w:rFonts w:hint="default" w:ascii="方正仿宋_GBK" w:hAnsi="方正仿宋_GBK" w:eastAsia="方正仿宋_GBK" w:cs="方正仿宋_GBK"/>
          <w:b/>
          <w:bCs/>
          <w:sz w:val="32"/>
          <w:szCs w:val="32"/>
          <w:lang w:val="en-US" w:eastAsia="zh-CN"/>
        </w:rPr>
        <w:t>二是</w:t>
      </w:r>
      <w:r>
        <w:rPr>
          <w:rFonts w:hint="default" w:ascii="Times New Roman" w:hAnsi="Times New Roman" w:eastAsia="仿宋" w:cs="Times New Roman"/>
          <w:sz w:val="32"/>
          <w:szCs w:val="32"/>
          <w:lang w:val="en-US" w:eastAsia="zh-CN"/>
        </w:rPr>
        <w:t>清理除治。每年11月至次年3月为集中除治期。</w:t>
      </w:r>
      <w:r>
        <w:rPr>
          <w:rFonts w:hint="eastAsia" w:ascii="Times New Roman" w:hAnsi="Times New Roman" w:eastAsia="方正仿宋_GBK" w:cs="Times New Roman"/>
          <w:sz w:val="32"/>
          <w:szCs w:val="32"/>
          <w:lang w:val="en-US" w:eastAsia="zh-CN"/>
        </w:rPr>
        <w:t>各乡镇</w:t>
      </w:r>
      <w:r>
        <w:rPr>
          <w:rFonts w:hint="default" w:ascii="Times New Roman" w:hAnsi="Times New Roman" w:eastAsia="方正仿宋_GBK" w:cs="Times New Roman"/>
          <w:sz w:val="32"/>
          <w:szCs w:val="32"/>
          <w:lang w:val="en-US" w:eastAsia="zh-CN"/>
        </w:rPr>
        <w:t>在预防区</w:t>
      </w:r>
      <w:r>
        <w:rPr>
          <w:rFonts w:hint="eastAsia" w:ascii="Times New Roman" w:hAnsi="Times New Roman" w:eastAsia="方正仿宋_GBK" w:cs="Times New Roman"/>
          <w:sz w:val="32"/>
          <w:szCs w:val="32"/>
          <w:lang w:val="en-US" w:eastAsia="zh-CN"/>
        </w:rPr>
        <w:t>（含重点预防区）</w:t>
      </w:r>
      <w:r>
        <w:rPr>
          <w:rFonts w:hint="default" w:ascii="Times New Roman" w:hAnsi="Times New Roman" w:eastAsia="方正仿宋_GBK" w:cs="Times New Roman"/>
          <w:sz w:val="32"/>
          <w:szCs w:val="32"/>
          <w:lang w:val="en-US" w:eastAsia="zh-CN"/>
        </w:rPr>
        <w:t>集中除治期内</w:t>
      </w:r>
      <w:r>
        <w:rPr>
          <w:rFonts w:hint="eastAsia"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lang w:val="en-US" w:eastAsia="zh-CN"/>
        </w:rPr>
        <w:t>以病死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濒死、枯死、因灾致死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松树清理为核心，兼顾松褐天牛及其他蛀干害虫防治为辅助措施的综合治理策略，提升松林质量。</w:t>
      </w:r>
      <w:r>
        <w:rPr>
          <w:rFonts w:hint="default" w:ascii="Times New Roman" w:hAnsi="Times New Roman" w:eastAsia="仿宋" w:cs="Times New Roman"/>
          <w:sz w:val="32"/>
          <w:szCs w:val="32"/>
          <w:lang w:val="en-US" w:eastAsia="zh-CN"/>
        </w:rPr>
        <w:t>在</w:t>
      </w:r>
      <w:r>
        <w:rPr>
          <w:rFonts w:hint="eastAsia" w:ascii="方正仿宋_GBK" w:hAnsi="方正仿宋_GBK" w:eastAsia="方正仿宋_GBK" w:cs="方正仿宋_GBK"/>
          <w:sz w:val="32"/>
          <w:szCs w:val="32"/>
          <w:lang w:val="en-US" w:eastAsia="zh-CN"/>
        </w:rPr>
        <w:t>疫区集中除治期内，要</w:t>
      </w:r>
      <w:r>
        <w:rPr>
          <w:rFonts w:hint="eastAsia" w:ascii="方正仿宋_GBK" w:hAnsi="方正仿宋_GBK" w:eastAsia="方正仿宋_GBK" w:cs="方正仿宋_GBK"/>
          <w:sz w:val="32"/>
          <w:szCs w:val="32"/>
        </w:rPr>
        <w:t>坚持科学、精准、系统的治理理念，实施以清理</w:t>
      </w:r>
      <w:r>
        <w:rPr>
          <w:rFonts w:hint="eastAsia" w:ascii="方正仿宋_GBK" w:hAnsi="方正仿宋_GBK" w:eastAsia="方正仿宋_GBK" w:cs="方正仿宋_GBK"/>
          <w:sz w:val="32"/>
          <w:szCs w:val="32"/>
          <w:lang w:val="en-US" w:eastAsia="zh-CN"/>
        </w:rPr>
        <w:t>病死（濒死、枯死、因灾致死）</w:t>
      </w:r>
      <w:r>
        <w:rPr>
          <w:rFonts w:hint="eastAsia" w:ascii="方正仿宋_GBK" w:hAnsi="方正仿宋_GBK" w:eastAsia="方正仿宋_GBK" w:cs="方正仿宋_GBK"/>
          <w:sz w:val="32"/>
          <w:szCs w:val="32"/>
        </w:rPr>
        <w:t>松树为核心，以疫木源头管控为根本，以媒介昆虫防治、打孔注药等为辅助的综合防治策略，</w:t>
      </w:r>
      <w:r>
        <w:rPr>
          <w:rFonts w:hint="eastAsia" w:ascii="方正仿宋_GBK" w:hAnsi="方正仿宋_GBK" w:eastAsia="方正仿宋_GBK" w:cs="方正仿宋_GBK"/>
          <w:sz w:val="32"/>
          <w:szCs w:val="32"/>
          <w:lang w:val="en-US" w:eastAsia="zh-CN"/>
        </w:rPr>
        <w:t>合理选择《松材线虫病防治技术方案（</w:t>
      </w:r>
      <w:r>
        <w:rPr>
          <w:rFonts w:hint="default" w:ascii="Times New Roman" w:hAnsi="Times New Roman" w:eastAsia="方正仿宋_GBK" w:cs="Times New Roman"/>
          <w:sz w:val="32"/>
          <w:szCs w:val="32"/>
          <w:lang w:val="en-US" w:eastAsia="zh-CN"/>
        </w:rPr>
        <w:t>2021</w:t>
      </w:r>
      <w:r>
        <w:rPr>
          <w:rFonts w:hint="eastAsia" w:ascii="方正仿宋_GBK" w:hAnsi="方正仿宋_GBK" w:eastAsia="方正仿宋_GBK" w:cs="方正仿宋_GBK"/>
          <w:sz w:val="32"/>
          <w:szCs w:val="32"/>
          <w:lang w:val="en-US" w:eastAsia="zh-CN"/>
        </w:rPr>
        <w:t>年版）》提供的防治技术措</w:t>
      </w:r>
      <w:r>
        <w:rPr>
          <w:rFonts w:hint="default" w:ascii="Times New Roman" w:hAnsi="Times New Roman" w:eastAsia="方正仿宋_GBK" w:cs="Times New Roman"/>
          <w:sz w:val="32"/>
          <w:szCs w:val="32"/>
          <w:lang w:val="en-US" w:eastAsia="zh-CN"/>
        </w:rPr>
        <w:t>施，严格按照疫木处理能力和监管能力决定疫木采伐进度的要求进行集中除治，定期调度辖区内疫情除治进度，随时开展质量检查，并在集中除治期结束之前及时开展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回头看</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行动。在</w:t>
      </w:r>
      <w:r>
        <w:rPr>
          <w:rFonts w:hint="eastAsia" w:ascii="Times New Roman" w:hAnsi="Times New Roman" w:eastAsia="方正仿宋_GBK" w:cs="Times New Roman"/>
          <w:sz w:val="32"/>
          <w:szCs w:val="32"/>
          <w:lang w:val="en-US" w:eastAsia="zh-CN"/>
        </w:rPr>
        <w:t>预防区和疫区</w:t>
      </w:r>
      <w:r>
        <w:rPr>
          <w:rFonts w:hint="default" w:ascii="Times New Roman" w:hAnsi="Times New Roman" w:eastAsia="方正仿宋_GBK" w:cs="Times New Roman"/>
          <w:sz w:val="32"/>
          <w:szCs w:val="32"/>
          <w:lang w:val="en-US" w:eastAsia="zh-CN"/>
        </w:rPr>
        <w:t>集中除治期外，重点生态区域、有望消灭疫情的地区以及新发疫情应采取应急除治措施的，</w:t>
      </w:r>
      <w:r>
        <w:rPr>
          <w:rFonts w:hint="eastAsia" w:ascii="Times New Roman" w:hAnsi="Times New Roman" w:eastAsia="方正仿宋_GBK" w:cs="Times New Roman"/>
          <w:sz w:val="32"/>
          <w:szCs w:val="32"/>
          <w:lang w:val="en-US" w:eastAsia="zh-CN"/>
        </w:rPr>
        <w:t>各乡镇应</w:t>
      </w:r>
      <w:r>
        <w:rPr>
          <w:rFonts w:hint="default" w:ascii="Times New Roman" w:hAnsi="Times New Roman" w:eastAsia="方正仿宋_GBK" w:cs="Times New Roman"/>
          <w:sz w:val="32"/>
          <w:szCs w:val="32"/>
          <w:lang w:val="en-US" w:eastAsia="zh-CN"/>
        </w:rPr>
        <w:t>对零星死亡松树开展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即死即清</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，采伐的松木和超过1厘米的枝桠按照当日采伐当日山场就地粉碎（削片）或烧毁的要求进行处置。</w:t>
      </w:r>
      <w:r>
        <w:rPr>
          <w:rFonts w:hint="default" w:ascii="方正仿宋_GBK" w:hAnsi="方正仿宋_GBK" w:eastAsia="方正仿宋_GBK" w:cs="方正仿宋_GBK"/>
          <w:b/>
          <w:bCs/>
          <w:sz w:val="32"/>
          <w:szCs w:val="32"/>
          <w:lang w:val="en-US" w:eastAsia="zh-CN"/>
        </w:rPr>
        <w:t>三是</w:t>
      </w:r>
      <w:r>
        <w:rPr>
          <w:rFonts w:hint="default" w:ascii="Times New Roman" w:hAnsi="Times New Roman" w:eastAsia="方正仿宋_GBK" w:cs="Times New Roman"/>
          <w:sz w:val="32"/>
          <w:szCs w:val="32"/>
          <w:lang w:val="en-US" w:eastAsia="zh-CN"/>
        </w:rPr>
        <w:t>媒介昆虫防治。选用高效低毒、环境友好型药剂，根据松褐天牛等媒介昆虫的生物学特性、药剂有效期和诱捕器监测结果，选择在松褐天牛等媒介昆虫羽化初期、羽化盛期、盛末期或上一次施药防治的药剂持效期末等关键时期开展防治（重点生态区域、水源保护地等生态敏感区域谨慎使用）。</w:t>
      </w:r>
      <w:r>
        <w:rPr>
          <w:rFonts w:hint="default" w:ascii="方正仿宋_GBK" w:hAnsi="方正仿宋_GBK" w:eastAsia="方正仿宋_GBK" w:cs="方正仿宋_GBK"/>
          <w:b/>
          <w:bCs/>
          <w:sz w:val="32"/>
          <w:szCs w:val="32"/>
          <w:lang w:val="en-US" w:eastAsia="zh-CN"/>
        </w:rPr>
        <w:t>四是</w:t>
      </w:r>
      <w:r>
        <w:rPr>
          <w:rFonts w:hint="default" w:ascii="Times New Roman" w:hAnsi="Times New Roman" w:eastAsia="方正仿宋_GBK" w:cs="Times New Roman"/>
          <w:sz w:val="32"/>
          <w:szCs w:val="32"/>
          <w:lang w:val="en-US" w:eastAsia="zh-CN"/>
        </w:rPr>
        <w:t>生物防治。经</w:t>
      </w:r>
      <w:r>
        <w:rPr>
          <w:rFonts w:hint="eastAsia"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lang w:val="en-US" w:eastAsia="zh-CN"/>
        </w:rPr>
        <w:t>林业和草原</w:t>
      </w:r>
      <w:r>
        <w:rPr>
          <w:rFonts w:hint="eastAsia"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lang w:val="en-US" w:eastAsia="zh-CN"/>
        </w:rPr>
        <w:t>研究论证认为可使用生物防治措施的区域，作为媒介昆虫防治的辅助措施使用。因地制宜释放肿腿蜂、花绒寄甲等天敌昆虫或喷施白僵菌、绿僵菌等病原微生物，控制媒介昆虫种群密度。</w:t>
      </w:r>
      <w:r>
        <w:rPr>
          <w:rFonts w:hint="default" w:ascii="方正仿宋_GBK" w:hAnsi="方正仿宋_GBK" w:eastAsia="方正仿宋_GBK" w:cs="方正仿宋_GBK"/>
          <w:b/>
          <w:bCs/>
          <w:sz w:val="32"/>
          <w:szCs w:val="32"/>
          <w:lang w:val="en-US" w:eastAsia="zh-CN"/>
        </w:rPr>
        <w:t>五是</w:t>
      </w:r>
      <w:r>
        <w:rPr>
          <w:rFonts w:hint="default" w:ascii="Times New Roman" w:hAnsi="Times New Roman" w:eastAsia="方正仿宋_GBK" w:cs="Times New Roman"/>
          <w:sz w:val="32"/>
          <w:szCs w:val="32"/>
          <w:lang w:val="en-US" w:eastAsia="zh-CN"/>
        </w:rPr>
        <w:t>社会化防治。加强对社会化防治组织的管理，推进社会化防治组织登记备案、防控成效评估和</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黑名单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管理。</w:t>
      </w:r>
    </w:p>
    <w:p w14:paraId="25CEEA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（六）健康森林保护行动。</w:t>
      </w:r>
      <w:r>
        <w:rPr>
          <w:rFonts w:hint="default" w:ascii="方正仿宋_GBK" w:hAnsi="方正仿宋_GBK" w:eastAsia="方正仿宋_GBK" w:cs="方正仿宋_GBK"/>
          <w:b/>
          <w:bCs/>
          <w:sz w:val="32"/>
          <w:szCs w:val="32"/>
          <w:lang w:val="en-US" w:eastAsia="zh-CN"/>
        </w:rPr>
        <w:t>一是</w:t>
      </w:r>
      <w:r>
        <w:rPr>
          <w:rFonts w:hint="default" w:ascii="Times New Roman" w:hAnsi="Times New Roman" w:eastAsia="方正仿宋_GBK" w:cs="Times New Roman"/>
          <w:sz w:val="32"/>
          <w:szCs w:val="32"/>
          <w:lang w:val="en-US" w:eastAsia="zh-CN"/>
        </w:rPr>
        <w:t>生态修复。</w:t>
      </w:r>
      <w:r>
        <w:rPr>
          <w:rFonts w:hint="eastAsia" w:ascii="Times New Roman" w:hAnsi="Times New Roman" w:eastAsia="方正仿宋_GBK" w:cs="Times New Roman"/>
          <w:sz w:val="32"/>
          <w:szCs w:val="32"/>
          <w:lang w:val="en-US" w:eastAsia="zh-CN"/>
        </w:rPr>
        <w:t>各乡镇</w:t>
      </w:r>
      <w:r>
        <w:rPr>
          <w:rFonts w:hint="default" w:ascii="Times New Roman" w:hAnsi="Times New Roman" w:eastAsia="方正仿宋_GBK" w:cs="Times New Roman"/>
          <w:sz w:val="32"/>
          <w:szCs w:val="32"/>
          <w:lang w:val="en-US" w:eastAsia="zh-CN"/>
        </w:rPr>
        <w:t>应优先将疫情防控纳入森林抚育、退化林修复、森林质量精准提升等生态工程项目，统筹松材线虫病疫情防控与生态修复。</w:t>
      </w:r>
      <w:r>
        <w:rPr>
          <w:rFonts w:hint="eastAsia" w:ascii="Times New Roman" w:hAnsi="Times New Roman" w:eastAsia="方正仿宋_GBK" w:cs="Times New Roman"/>
          <w:sz w:val="32"/>
          <w:szCs w:val="32"/>
          <w:lang w:val="en-US" w:eastAsia="zh-CN"/>
        </w:rPr>
        <w:t>各乡镇可</w:t>
      </w:r>
      <w:r>
        <w:rPr>
          <w:rFonts w:hint="default" w:ascii="Times New Roman" w:hAnsi="Times New Roman" w:eastAsia="方正仿宋_GBK" w:cs="Times New Roman"/>
          <w:sz w:val="32"/>
          <w:szCs w:val="32"/>
          <w:lang w:val="en-US" w:eastAsia="zh-CN"/>
        </w:rPr>
        <w:t>循序渐进、因地制宜开展以择伐为主的人工松树纯林改造，突出目标树经营，科学补植乡土珍贵阔叶树种，营造复层林、异龄林、混交林，打造健康的森林生态系统。支持</w:t>
      </w:r>
      <w:r>
        <w:rPr>
          <w:rFonts w:hint="eastAsia" w:ascii="Times New Roman" w:hAnsi="Times New Roman" w:eastAsia="方正仿宋_GBK" w:cs="Times New Roman"/>
          <w:sz w:val="32"/>
          <w:szCs w:val="32"/>
          <w:lang w:val="en-US" w:eastAsia="zh-CN"/>
        </w:rPr>
        <w:t>地方</w:t>
      </w:r>
      <w:r>
        <w:rPr>
          <w:rFonts w:hint="default" w:ascii="Times New Roman" w:hAnsi="Times New Roman" w:eastAsia="方正仿宋_GBK" w:cs="Times New Roman"/>
          <w:sz w:val="32"/>
          <w:szCs w:val="32"/>
          <w:lang w:val="en-US" w:eastAsia="zh-CN"/>
        </w:rPr>
        <w:t>开展人工商品松林改培试点，探索疫情科学防控、系统治理和森林可持续发展模式。试点工作需逐级</w:t>
      </w:r>
      <w:r>
        <w:rPr>
          <w:rFonts w:hint="eastAsia" w:ascii="Times New Roman" w:hAnsi="Times New Roman" w:eastAsia="方正仿宋_GBK" w:cs="Times New Roman"/>
          <w:sz w:val="32"/>
          <w:szCs w:val="32"/>
          <w:lang w:val="en-US" w:eastAsia="zh-CN"/>
        </w:rPr>
        <w:t>报批</w:t>
      </w:r>
      <w:r>
        <w:rPr>
          <w:rFonts w:hint="default" w:ascii="Times New Roman" w:hAnsi="Times New Roman" w:eastAsia="方正仿宋_GBK" w:cs="Times New Roman"/>
          <w:sz w:val="32"/>
          <w:szCs w:val="32"/>
          <w:lang w:val="en-US" w:eastAsia="zh-CN"/>
        </w:rPr>
        <w:t>同意后组织实施。</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Start w:id="296" w:name="_Toc3666"/>
      <w:bookmarkStart w:id="297" w:name="_Toc17628"/>
      <w:bookmarkStart w:id="298" w:name="_Toc17768"/>
      <w:bookmarkStart w:id="299" w:name="_Toc27727"/>
      <w:bookmarkStart w:id="300" w:name="_Toc27143"/>
      <w:bookmarkStart w:id="301" w:name="_Toc5448"/>
      <w:bookmarkStart w:id="302" w:name="_Toc15469"/>
      <w:bookmarkStart w:id="303" w:name="_Toc23761"/>
      <w:bookmarkStart w:id="304" w:name="_Toc11492"/>
      <w:bookmarkStart w:id="305" w:name="_Toc32502"/>
      <w:bookmarkStart w:id="306" w:name="_Toc16898"/>
      <w:bookmarkStart w:id="307" w:name="_Toc3365"/>
      <w:bookmarkStart w:id="308" w:name="_Toc12975"/>
      <w:bookmarkStart w:id="309" w:name="_Toc4469"/>
      <w:bookmarkStart w:id="310" w:name="_Toc13180"/>
      <w:bookmarkStart w:id="311" w:name="_Toc16708"/>
      <w:bookmarkStart w:id="312" w:name="_Toc17652"/>
      <w:bookmarkStart w:id="313" w:name="_Toc29675"/>
      <w:bookmarkStart w:id="314" w:name="_Toc16338"/>
      <w:bookmarkStart w:id="315" w:name="_Toc17270"/>
      <w:bookmarkStart w:id="316" w:name="_Toc22839"/>
      <w:r>
        <w:rPr>
          <w:rFonts w:hint="eastAsia" w:ascii="方正仿宋_GBK" w:hAnsi="方正仿宋_GBK" w:eastAsia="方正仿宋_GBK" w:cs="方正仿宋_GBK"/>
          <w:b/>
          <w:bCs/>
          <w:sz w:val="32"/>
          <w:szCs w:val="32"/>
          <w:lang w:val="en-US" w:eastAsia="zh-CN"/>
        </w:rPr>
        <w:t>二是</w:t>
      </w:r>
      <w:r>
        <w:rPr>
          <w:rFonts w:hint="default" w:ascii="Times New Roman" w:hAnsi="Times New Roman" w:eastAsia="方正仿宋_GBK" w:cs="Times New Roman"/>
          <w:sz w:val="32"/>
          <w:szCs w:val="32"/>
          <w:lang w:val="en-US" w:eastAsia="zh-CN"/>
        </w:rPr>
        <w:t>一树一策。疫区坚持病死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濒死、枯死、因灾致死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松树清理和健康松树保护并重，针对有保护价值的松林制定保护方案，避免造成重大损失。针对古树名木和重要地标性景观松树保护，实行</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一树一策</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p>
    <w:p w14:paraId="370A59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五、行动保障</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390B54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bookmarkStart w:id="317" w:name="_Toc16389"/>
      <w:bookmarkStart w:id="318" w:name="_Toc1032"/>
      <w:bookmarkStart w:id="319" w:name="_Toc677"/>
      <w:bookmarkStart w:id="320" w:name="_Toc13282"/>
      <w:bookmarkStart w:id="321" w:name="_Toc31633"/>
      <w:bookmarkStart w:id="322" w:name="_Toc25176"/>
      <w:bookmarkStart w:id="323" w:name="_Toc9637"/>
      <w:bookmarkStart w:id="324" w:name="_Toc24610"/>
      <w:bookmarkStart w:id="325" w:name="_Toc5396"/>
      <w:bookmarkStart w:id="326" w:name="_Toc17471"/>
      <w:bookmarkStart w:id="327" w:name="_Toc15878"/>
      <w:bookmarkStart w:id="328" w:name="_Toc13100"/>
      <w:bookmarkStart w:id="329" w:name="_Toc30680"/>
      <w:bookmarkStart w:id="330" w:name="_Toc1961"/>
      <w:bookmarkStart w:id="331" w:name="_Toc21728"/>
      <w:bookmarkStart w:id="332" w:name="_Toc9710"/>
      <w:bookmarkStart w:id="333" w:name="_Toc29131"/>
      <w:bookmarkStart w:id="334" w:name="_Toc6804"/>
      <w:bookmarkStart w:id="335" w:name="_Toc14640"/>
      <w:bookmarkStart w:id="336" w:name="_Toc789"/>
      <w:bookmarkStart w:id="337" w:name="_Toc2106"/>
      <w:bookmarkStart w:id="338" w:name="_Toc5948"/>
      <w:bookmarkStart w:id="339" w:name="_Toc23559"/>
      <w:r>
        <w:rPr>
          <w:rFonts w:hint="default" w:ascii="Times New Roman" w:hAnsi="Times New Roman" w:eastAsia="方正楷体_GBK" w:cs="Times New Roman"/>
          <w:sz w:val="32"/>
          <w:szCs w:val="32"/>
          <w:lang w:val="en-US" w:eastAsia="zh-CN"/>
        </w:rPr>
        <w:t>（一）加强组织</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r>
        <w:rPr>
          <w:rFonts w:hint="default" w:ascii="Times New Roman" w:hAnsi="Times New Roman" w:eastAsia="方正楷体_GBK" w:cs="Times New Roman"/>
          <w:sz w:val="32"/>
          <w:szCs w:val="32"/>
          <w:lang w:val="en-US" w:eastAsia="zh-CN"/>
        </w:rPr>
        <w:t>领导。</w:t>
      </w:r>
      <w:r>
        <w:rPr>
          <w:rFonts w:hint="default" w:ascii="Times New Roman" w:hAnsi="Times New Roman" w:eastAsia="方正仿宋_GBK" w:cs="Times New Roman"/>
          <w:sz w:val="32"/>
          <w:szCs w:val="32"/>
          <w:lang w:val="en-US" w:eastAsia="zh-CN"/>
        </w:rPr>
        <w:t>全面推行林长制，严格落实四级林长保护发展森林资源的领导责任。各</w:t>
      </w:r>
      <w:r>
        <w:rPr>
          <w:rFonts w:hint="eastAsia" w:ascii="Times New Roman" w:hAnsi="Times New Roman" w:eastAsia="方正仿宋_GBK" w:cs="Times New Roman"/>
          <w:sz w:val="32"/>
          <w:szCs w:val="32"/>
          <w:lang w:val="en-US" w:eastAsia="zh-CN"/>
        </w:rPr>
        <w:t>乡镇人民</w:t>
      </w:r>
      <w:r>
        <w:rPr>
          <w:rFonts w:hint="default" w:ascii="Times New Roman" w:hAnsi="Times New Roman" w:eastAsia="方正仿宋_GBK" w:cs="Times New Roman"/>
          <w:sz w:val="32"/>
          <w:szCs w:val="32"/>
          <w:lang w:val="en-US" w:eastAsia="zh-CN"/>
        </w:rPr>
        <w:t>政府要切实履行重大林业有害生物防治主体责任，系统安排部署攻坚行动，狠抓责任落实，全面推行实施。各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w:t>
      </w:r>
      <w:r>
        <w:rPr>
          <w:rFonts w:hint="default" w:ascii="Times New Roman" w:hAnsi="Times New Roman" w:eastAsia="方正仿宋_GBK" w:cs="Times New Roman"/>
          <w:sz w:val="32"/>
          <w:szCs w:val="32"/>
          <w:lang w:val="en-US" w:eastAsia="zh-CN"/>
        </w:rPr>
        <w:t>要充分发挥组织领导、宣传发动、协调指导作用，强化疫情防控、监督检查、考核评价等工作，形成各负其责、齐抓共管的防控格局。</w:t>
      </w:r>
      <w:bookmarkStart w:id="340" w:name="_Toc7702"/>
      <w:bookmarkStart w:id="341" w:name="_Toc23198"/>
      <w:bookmarkStart w:id="342" w:name="_Toc30356"/>
      <w:bookmarkStart w:id="343" w:name="_Toc32295"/>
      <w:bookmarkStart w:id="344" w:name="_Toc9764"/>
      <w:bookmarkStart w:id="345" w:name="_Toc25716"/>
      <w:bookmarkStart w:id="346" w:name="_Toc2107"/>
      <w:bookmarkStart w:id="347" w:name="_Toc23966"/>
      <w:bookmarkStart w:id="348" w:name="_Toc26968"/>
      <w:bookmarkStart w:id="349" w:name="_Toc2638"/>
      <w:bookmarkStart w:id="350" w:name="_Toc5588"/>
      <w:bookmarkStart w:id="351" w:name="_Toc3679"/>
      <w:bookmarkStart w:id="352" w:name="_Toc3635"/>
      <w:bookmarkStart w:id="353" w:name="_Toc27268"/>
      <w:bookmarkStart w:id="354" w:name="_Toc5070"/>
      <w:bookmarkStart w:id="355" w:name="_Toc3109"/>
      <w:bookmarkStart w:id="356" w:name="_Toc20065"/>
      <w:bookmarkStart w:id="357" w:name="_Toc70"/>
      <w:bookmarkStart w:id="358" w:name="_Toc2032"/>
      <w:bookmarkStart w:id="359" w:name="_Toc25054"/>
      <w:bookmarkStart w:id="360" w:name="_Toc7606"/>
      <w:bookmarkStart w:id="361" w:name="_Toc17249"/>
      <w:bookmarkStart w:id="362" w:name="_Toc22340"/>
      <w:bookmarkStart w:id="363" w:name="_Toc7416"/>
    </w:p>
    <w:p w14:paraId="6B0CE1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（二）加大资金投入。</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Start w:id="364" w:name="bookmark183"/>
      <w:bookmarkStart w:id="365" w:name="_Toc21675"/>
      <w:bookmarkStart w:id="366" w:name="_Toc3557"/>
      <w:bookmarkStart w:id="367" w:name="_Toc11547"/>
      <w:r>
        <w:rPr>
          <w:rFonts w:hint="default" w:ascii="Times New Roman" w:hAnsi="Times New Roman" w:eastAsia="方正仿宋_GBK" w:cs="Times New Roman"/>
          <w:sz w:val="32"/>
          <w:szCs w:val="32"/>
          <w:lang w:val="en-US" w:eastAsia="zh-CN"/>
        </w:rPr>
        <w:t>要合理安排资金，加大资金投入，积极推进重大林业有害生物防控基础设施的建设、应用，保障防控工作顺利开展。</w:t>
      </w:r>
      <w:bookmarkStart w:id="368" w:name="_Toc997"/>
      <w:bookmarkStart w:id="369" w:name="_Toc23026"/>
      <w:bookmarkStart w:id="370" w:name="_Toc29761"/>
      <w:bookmarkStart w:id="371" w:name="_Toc4387"/>
      <w:bookmarkStart w:id="372" w:name="_Toc5802"/>
      <w:bookmarkStart w:id="373" w:name="_Toc8046"/>
      <w:bookmarkStart w:id="374" w:name="_Toc20590"/>
      <w:bookmarkStart w:id="375" w:name="_Toc16472"/>
      <w:bookmarkStart w:id="376" w:name="_Toc12559"/>
      <w:bookmarkStart w:id="377" w:name="_Toc9140"/>
      <w:bookmarkStart w:id="378" w:name="_Toc8012"/>
      <w:bookmarkStart w:id="379" w:name="_Toc18511"/>
      <w:bookmarkStart w:id="380" w:name="_Toc11398"/>
      <w:bookmarkStart w:id="381" w:name="_Toc23268"/>
      <w:bookmarkStart w:id="382" w:name="_Toc29046"/>
      <w:bookmarkStart w:id="383" w:name="_Toc16307"/>
      <w:bookmarkStart w:id="384" w:name="_Toc10696"/>
      <w:bookmarkStart w:id="385" w:name="_Toc26910"/>
      <w:bookmarkStart w:id="386" w:name="_Toc30347"/>
      <w:bookmarkStart w:id="387" w:name="_Toc18353"/>
      <w:bookmarkStart w:id="388" w:name="_Toc26048"/>
      <w:bookmarkStart w:id="389" w:name="_Toc28086"/>
      <w:bookmarkStart w:id="390" w:name="_Toc15170"/>
      <w:bookmarkStart w:id="391" w:name="_Toc22676"/>
      <w:bookmarkStart w:id="392" w:name="_Toc4607"/>
      <w:bookmarkStart w:id="393" w:name="_Toc10282"/>
      <w:bookmarkStart w:id="394" w:name="_Toc1998"/>
      <w:bookmarkStart w:id="395" w:name="_Toc27830"/>
      <w:bookmarkStart w:id="396" w:name="_Toc14430"/>
      <w:bookmarkStart w:id="397" w:name="_Toc17386"/>
      <w:bookmarkStart w:id="398" w:name="_Toc7425"/>
      <w:bookmarkStart w:id="399" w:name="_Toc28991"/>
      <w:bookmarkStart w:id="400" w:name="_Toc2210"/>
      <w:bookmarkStart w:id="401" w:name="_Toc12834"/>
      <w:bookmarkStart w:id="402" w:name="_Toc29846"/>
      <w:bookmarkStart w:id="403" w:name="_Toc15519"/>
      <w:bookmarkStart w:id="404" w:name="_Toc5532"/>
      <w:bookmarkStart w:id="405" w:name="_Toc10058"/>
      <w:bookmarkStart w:id="406" w:name="_Toc26619"/>
      <w:bookmarkStart w:id="407" w:name="_Toc15870"/>
      <w:bookmarkStart w:id="408" w:name="_Toc9265"/>
      <w:bookmarkStart w:id="409" w:name="_Toc24353"/>
      <w:bookmarkStart w:id="410" w:name="_Toc1327"/>
      <w:bookmarkStart w:id="411" w:name="_Toc32017"/>
      <w:r>
        <w:rPr>
          <w:rFonts w:hint="default" w:ascii="Times New Roman" w:hAnsi="Times New Roman" w:eastAsia="方正仿宋_GBK" w:cs="Times New Roman"/>
          <w:sz w:val="32"/>
          <w:szCs w:val="32"/>
          <w:lang w:val="en-US" w:eastAsia="zh-CN"/>
        </w:rPr>
        <w:t>加强资金使用监管，开展疫情防控资金使用绩效评价，确保疫情防控资金使用安全高效。</w:t>
      </w:r>
    </w:p>
    <w:p w14:paraId="287A7A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楷体_GBK" w:cs="Times New Roman"/>
          <w:sz w:val="32"/>
          <w:szCs w:val="32"/>
          <w:lang w:val="en-US" w:eastAsia="zh-CN"/>
        </w:rPr>
        <w:t>（三）强化技术支撑</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Pr>
          <w:rFonts w:hint="default" w:ascii="Times New Roman" w:hAnsi="Times New Roman" w:eastAsia="方正楷体_GBK" w:cs="Times New Roman"/>
          <w:sz w:val="32"/>
          <w:szCs w:val="32"/>
          <w:lang w:val="en-US" w:eastAsia="zh-CN"/>
        </w:rPr>
        <w:t>。</w:t>
      </w:r>
      <w:r>
        <w:rPr>
          <w:rFonts w:hint="default" w:ascii="Times New Roman" w:hAnsi="Times New Roman" w:eastAsia="方正仿宋_GBK" w:cs="Times New Roman"/>
          <w:sz w:val="32"/>
          <w:szCs w:val="32"/>
        </w:rPr>
        <w:t>引进和应用疫情防控</w:t>
      </w:r>
      <w:r>
        <w:rPr>
          <w:rFonts w:hint="default" w:ascii="Times New Roman" w:hAnsi="Times New Roman" w:eastAsia="方正仿宋_GBK" w:cs="Times New Roman"/>
          <w:sz w:val="32"/>
          <w:szCs w:val="32"/>
          <w:lang w:val="en-US" w:eastAsia="zh-CN"/>
        </w:rPr>
        <w:t>新药剂、</w:t>
      </w:r>
      <w:r>
        <w:rPr>
          <w:rFonts w:hint="default" w:ascii="Times New Roman" w:hAnsi="Times New Roman" w:eastAsia="方正仿宋_GBK" w:cs="Times New Roman"/>
          <w:sz w:val="32"/>
          <w:szCs w:val="32"/>
        </w:rPr>
        <w:t>新技术成果，全力提升松材线虫病疫情防控科技水平。</w:t>
      </w:r>
    </w:p>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14:paraId="09356B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（四）</w:t>
      </w:r>
      <w:bookmarkEnd w:id="364"/>
      <w:r>
        <w:rPr>
          <w:rFonts w:hint="default" w:ascii="Times New Roman" w:hAnsi="Times New Roman" w:eastAsia="方正楷体_GBK" w:cs="Times New Roman"/>
          <w:sz w:val="32"/>
          <w:szCs w:val="32"/>
          <w:lang w:val="en-US" w:eastAsia="zh-CN"/>
        </w:rPr>
        <w:t>加强群防群控</w:t>
      </w:r>
      <w:bookmarkEnd w:id="365"/>
      <w:r>
        <w:rPr>
          <w:rFonts w:hint="default" w:ascii="Times New Roman" w:hAnsi="Times New Roman" w:eastAsia="方正楷体_GBK" w:cs="Times New Roman"/>
          <w:sz w:val="32"/>
          <w:szCs w:val="32"/>
          <w:lang w:val="en-US" w:eastAsia="zh-CN"/>
        </w:rPr>
        <w:t>。</w:t>
      </w:r>
      <w:r>
        <w:rPr>
          <w:rFonts w:hint="default" w:ascii="Times New Roman" w:hAnsi="Times New Roman" w:eastAsia="方正仿宋_GBK" w:cs="Times New Roman"/>
          <w:sz w:val="32"/>
          <w:szCs w:val="32"/>
          <w:lang w:val="en-US" w:eastAsia="zh-CN"/>
        </w:rPr>
        <w:t>开展疫情防控政策法规、防控知识等宣传普及教育，积极引导全社会理解、支持和参与松材线虫病疫情防控工作，努力营造群防群控的良好氛围。通过广泛宣传，让疫情防控知识进村入户，让抵制收集、存放、使用疫木及其制品等成为自觉行为。鼓励群众多种渠道报告疫情、举报涉疫违法行为。举办松材线虫病防控政策法规和业务培训班，提升从业人员能力和水平。</w:t>
      </w:r>
      <w:bookmarkEnd w:id="366"/>
      <w:bookmarkEnd w:id="367"/>
      <w:bookmarkStart w:id="412" w:name="_Toc23693"/>
      <w:bookmarkStart w:id="413" w:name="_Toc1502"/>
      <w:bookmarkStart w:id="414" w:name="_Toc3967"/>
      <w:bookmarkStart w:id="415" w:name="_Toc25460"/>
      <w:bookmarkStart w:id="416" w:name="_Toc19026"/>
    </w:p>
    <w:p w14:paraId="277713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六、相关要求</w:t>
      </w:r>
    </w:p>
    <w:p w14:paraId="7C79454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（一）</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lang w:val="en-US" w:eastAsia="zh-CN"/>
        </w:rPr>
        <w:t>及时组织制定</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松材线虫病疫情防控五年攻坚行动方案，细化分解任务，做到目标准确、任务具体、责任清晰、措施精准。</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实施方案经</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人民政府同意后由</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林草局统一报</w:t>
      </w:r>
      <w:r>
        <w:rPr>
          <w:rFonts w:hint="eastAsia" w:ascii="Times New Roman" w:hAnsi="Times New Roman" w:eastAsia="方正仿宋_GBK" w:cs="Times New Roman"/>
          <w:sz w:val="32"/>
          <w:szCs w:val="32"/>
          <w:lang w:val="en-US" w:eastAsia="zh-CN"/>
        </w:rPr>
        <w:t>送州</w:t>
      </w:r>
      <w:r>
        <w:rPr>
          <w:rFonts w:hint="default" w:ascii="Times New Roman" w:hAnsi="Times New Roman" w:eastAsia="方正仿宋_GBK" w:cs="Times New Roman"/>
          <w:sz w:val="32"/>
          <w:szCs w:val="32"/>
          <w:lang w:val="en-US" w:eastAsia="zh-CN"/>
        </w:rPr>
        <w:t>林草局备案。</w:t>
      </w:r>
    </w:p>
    <w:p w14:paraId="301413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lang w:val="en-US" w:eastAsia="zh-CN"/>
        </w:rPr>
        <w:t>每年10月30前</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乡镇人民政府</w:t>
      </w:r>
      <w:r>
        <w:rPr>
          <w:rFonts w:hint="default" w:ascii="Times New Roman" w:hAnsi="Times New Roman" w:eastAsia="方正仿宋_GBK" w:cs="Times New Roman"/>
          <w:sz w:val="32"/>
          <w:szCs w:val="32"/>
          <w:lang w:val="en-US" w:eastAsia="zh-CN"/>
        </w:rPr>
        <w:t>向</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工作领导小组（办公室设在市</w:t>
      </w:r>
      <w:r>
        <w:rPr>
          <w:rFonts w:hint="default" w:ascii="Times New Roman" w:hAnsi="Times New Roman" w:eastAsia="方正仿宋_GBK" w:cs="Times New Roman"/>
          <w:sz w:val="32"/>
          <w:szCs w:val="32"/>
          <w:lang w:val="en-US" w:eastAsia="zh-CN"/>
        </w:rPr>
        <w:t>林业和草原局</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报送年度攻坚行动进展情况</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w:t>
      </w:r>
      <w:r>
        <w:rPr>
          <w:rFonts w:hint="default" w:ascii="Times New Roman" w:hAnsi="Times New Roman" w:eastAsia="方正仿宋_GBK" w:cs="Times New Roman"/>
          <w:sz w:val="32"/>
          <w:szCs w:val="32"/>
          <w:lang w:val="en-US" w:eastAsia="zh-CN"/>
        </w:rPr>
        <w:t>向成员单位通报松材线虫病疫情防控攻坚工作情况。</w:t>
      </w:r>
    </w:p>
    <w:p w14:paraId="4066E5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lang w:val="en-US" w:eastAsia="zh-CN"/>
        </w:rPr>
        <w:t>2023年10月30日前</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乡镇人民政府</w:t>
      </w:r>
      <w:r>
        <w:rPr>
          <w:rFonts w:hint="default" w:ascii="Times New Roman" w:hAnsi="Times New Roman" w:eastAsia="方正仿宋_GBK" w:cs="Times New Roman"/>
          <w:sz w:val="32"/>
          <w:szCs w:val="32"/>
          <w:lang w:val="en-US" w:eastAsia="zh-CN"/>
        </w:rPr>
        <w:t>向</w:t>
      </w:r>
      <w:r>
        <w:rPr>
          <w:rFonts w:hint="eastAsia"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w:t>
      </w:r>
      <w:r>
        <w:rPr>
          <w:rFonts w:hint="default" w:ascii="Times New Roman" w:hAnsi="Times New Roman" w:eastAsia="方正仿宋_GBK" w:cs="Times New Roman"/>
          <w:sz w:val="32"/>
          <w:szCs w:val="32"/>
          <w:lang w:val="en-US" w:eastAsia="zh-CN"/>
        </w:rPr>
        <w:t>报送中期评估结果。</w:t>
      </w:r>
    </w:p>
    <w:p w14:paraId="639FABC2">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五年攻坚行动结束后，各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要组织自查，</w:t>
      </w:r>
      <w:r>
        <w:rPr>
          <w:rFonts w:hint="default" w:ascii="Times New Roman" w:hAnsi="Times New Roman" w:eastAsia="方正仿宋_GBK" w:cs="Times New Roman"/>
          <w:sz w:val="32"/>
          <w:szCs w:val="32"/>
        </w:rPr>
        <w:t>于2025年10月</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日前将自查报告报送</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w:t>
      </w:r>
      <w:r>
        <w:rPr>
          <w:rFonts w:hint="eastAsia" w:ascii="Times New Roman" w:hAnsi="Times New Roman" w:eastAsia="方正仿宋_GBK" w:cs="Times New Roman"/>
          <w:sz w:val="32"/>
          <w:szCs w:val="32"/>
          <w:lang w:eastAsia="zh-CN"/>
        </w:rPr>
        <w:t>由</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林业有害生物防控</w:t>
      </w:r>
      <w:r>
        <w:rPr>
          <w:rFonts w:hint="eastAsia" w:ascii="Times New Roman" w:hAnsi="Times New Roman" w:eastAsia="方正仿宋_GBK" w:cs="Times New Roman"/>
          <w:sz w:val="32"/>
          <w:szCs w:val="32"/>
          <w:lang w:val="en-US" w:eastAsia="zh-CN"/>
        </w:rPr>
        <w:t>工作领导小组办公室</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lang w:val="en-US" w:eastAsia="zh-CN"/>
        </w:rPr>
        <w:t>攻坚行动情况进行检查评估</w:t>
      </w:r>
      <w:r>
        <w:rPr>
          <w:rFonts w:hint="eastAsia" w:ascii="Times New Roman" w:hAnsi="Times New Roman" w:eastAsia="方正仿宋_GBK" w:cs="Times New Roman"/>
          <w:sz w:val="32"/>
          <w:szCs w:val="32"/>
          <w:lang w:val="en-US" w:eastAsia="zh-CN"/>
        </w:rPr>
        <w:t>。</w:t>
      </w:r>
    </w:p>
    <w:p w14:paraId="5BFCB55C">
      <w:pPr>
        <w:pStyle w:val="2"/>
        <w:numPr>
          <w:ilvl w:val="0"/>
          <w:numId w:val="0"/>
        </w:numPr>
        <w:rPr>
          <w:rFonts w:hint="eastAsia"/>
          <w:lang w:val="en-US" w:eastAsia="zh-CN"/>
        </w:rPr>
      </w:pPr>
    </w:p>
    <w:bookmarkEnd w:id="412"/>
    <w:bookmarkEnd w:id="413"/>
    <w:bookmarkEnd w:id="414"/>
    <w:bookmarkEnd w:id="415"/>
    <w:bookmarkEnd w:id="416"/>
    <w:p w14:paraId="31D278DA">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textAlignment w:val="auto"/>
        <w:rPr>
          <w:rFonts w:hint="default" w:ascii="Times New Roman" w:hAnsi="Times New Roman" w:eastAsia="方正仿宋_GBK" w:cs="Times New Roman"/>
          <w:sz w:val="32"/>
          <w:szCs w:val="32"/>
          <w:lang w:val="en-US" w:eastAsia="zh-CN"/>
        </w:rPr>
      </w:pPr>
      <w:bookmarkStart w:id="417" w:name="_Toc13580"/>
      <w:bookmarkStart w:id="418" w:name="_Toc10128"/>
      <w:r>
        <w:rPr>
          <w:rFonts w:hint="default" w:ascii="Times New Roman" w:hAnsi="Times New Roman" w:eastAsia="方正仿宋_GBK" w:cs="Times New Roman"/>
          <w:sz w:val="32"/>
          <w:szCs w:val="32"/>
          <w:lang w:val="en-US" w:eastAsia="zh-CN"/>
        </w:rPr>
        <w:t>附件：1.</w:t>
      </w:r>
      <w:r>
        <w:rPr>
          <w:rFonts w:hint="eastAsia" w:ascii="Times New Roman" w:hAnsi="Times New Roman" w:eastAsia="方正仿宋_GBK" w:cs="Times New Roman"/>
          <w:spacing w:val="-6"/>
          <w:sz w:val="32"/>
          <w:szCs w:val="32"/>
          <w:lang w:val="en-US" w:eastAsia="zh-CN"/>
        </w:rPr>
        <w:t>景洪市</w:t>
      </w:r>
      <w:r>
        <w:rPr>
          <w:rFonts w:hint="default" w:ascii="Times New Roman" w:hAnsi="Times New Roman" w:eastAsia="方正仿宋_GBK" w:cs="Times New Roman"/>
          <w:spacing w:val="-6"/>
          <w:sz w:val="32"/>
          <w:szCs w:val="32"/>
          <w:lang w:val="en-US" w:eastAsia="zh-CN"/>
        </w:rPr>
        <w:t>松材线虫病疫情防控五年攻坚行动目标表</w:t>
      </w:r>
    </w:p>
    <w:p w14:paraId="299BED1B">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pacing w:val="-17"/>
          <w:sz w:val="32"/>
          <w:szCs w:val="32"/>
          <w:lang w:val="en-US" w:eastAsia="zh-CN"/>
        </w:rPr>
        <w:t>松材线虫病监测、处置网格化管理任务分解样表</w:t>
      </w:r>
    </w:p>
    <w:p w14:paraId="32794CB7">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3.病死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濒死、枯死、因灾致死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松树</w:t>
      </w:r>
      <w:r>
        <w:rPr>
          <w:rFonts w:hint="eastAsia" w:ascii="Times New Roman" w:hAnsi="Times New Roman" w:eastAsia="方正仿宋_GBK" w:cs="Times New Roman"/>
          <w:sz w:val="32"/>
          <w:szCs w:val="32"/>
          <w:lang w:val="en-US" w:eastAsia="zh-CN"/>
        </w:rPr>
        <w:t>监测记录样表</w:t>
      </w:r>
    </w:p>
    <w:p w14:paraId="20879ADB">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松树、松木及其制品检查抽样记录样表</w:t>
      </w:r>
    </w:p>
    <w:p w14:paraId="7789E4FF">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.松材线虫病林业小班调查抽样记录样表</w:t>
      </w:r>
    </w:p>
    <w:p w14:paraId="0EDD9657">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.样品送检登记样表</w:t>
      </w:r>
    </w:p>
    <w:p w14:paraId="12340333">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sectPr>
          <w:footerReference r:id="rId5" w:type="default"/>
          <w:footerReference r:id="rId6" w:type="even"/>
          <w:footnotePr>
            <w:numFmt w:val="decimal"/>
          </w:footnotePr>
          <w:pgSz w:w="11900" w:h="16840"/>
          <w:pgMar w:top="1701" w:right="1417" w:bottom="1701" w:left="1587" w:header="0" w:footer="3" w:gutter="0"/>
          <w:pgNumType w:fmt="decimal" w:start="1"/>
          <w:cols w:space="720" w:num="1"/>
          <w:rtlGutter w:val="0"/>
          <w:docGrid w:linePitch="360" w:charSpace="0"/>
        </w:sectPr>
      </w:pPr>
    </w:p>
    <w:bookmarkEnd w:id="417"/>
    <w:bookmarkEnd w:id="418"/>
    <w:p w14:paraId="49B8E477">
      <w:pPr>
        <w:keepNext w:val="0"/>
        <w:keepLines w:val="0"/>
        <w:pageBreakBefore w:val="0"/>
        <w:kinsoku/>
        <w:wordWrap/>
        <w:overflowPunct/>
        <w:topLinePunct w:val="0"/>
        <w:autoSpaceDE/>
        <w:autoSpaceDN/>
        <w:bidi w:val="0"/>
        <w:snapToGrid w:val="0"/>
        <w:spacing w:line="600" w:lineRule="exact"/>
        <w:jc w:val="left"/>
        <w:rPr>
          <w:rFonts w:hint="default" w:ascii="Times New Roman" w:hAnsi="Times New Roman" w:eastAsia="方正仿宋_GBK" w:cs="Times New Roman"/>
          <w:b/>
          <w:bCs/>
          <w:kern w:val="0"/>
          <w:sz w:val="24"/>
          <w:highlight w:val="none"/>
        </w:rPr>
      </w:pPr>
      <w:r>
        <w:rPr>
          <w:rFonts w:hint="default" w:ascii="Times New Roman" w:hAnsi="Times New Roman" w:eastAsia="方正仿宋_GBK" w:cs="Times New Roman"/>
          <w:b w:val="0"/>
          <w:bCs/>
          <w:sz w:val="32"/>
          <w:szCs w:val="32"/>
          <w:highlight w:val="none"/>
        </w:rPr>
        <w:t>附件</w:t>
      </w:r>
      <w:r>
        <w:rPr>
          <w:rFonts w:hint="eastAsia" w:ascii="Times New Roman" w:hAnsi="Times New Roman" w:eastAsia="方正仿宋_GBK" w:cs="Times New Roman"/>
          <w:b w:val="0"/>
          <w:bCs/>
          <w:sz w:val="32"/>
          <w:szCs w:val="32"/>
          <w:highlight w:val="none"/>
          <w:lang w:val="en-US" w:eastAsia="zh-CN"/>
        </w:rPr>
        <w:t>1</w:t>
      </w:r>
    </w:p>
    <w:p w14:paraId="0D5C96FD">
      <w:pPr>
        <w:keepNext w:val="0"/>
        <w:keepLines w:val="0"/>
        <w:pageBreakBefore w:val="0"/>
        <w:kinsoku/>
        <w:wordWrap/>
        <w:overflowPunct/>
        <w:topLinePunct w:val="0"/>
        <w:autoSpaceDE/>
        <w:autoSpaceDN/>
        <w:bidi w:val="0"/>
        <w:snapToGrid w:val="0"/>
        <w:spacing w:line="600" w:lineRule="exact"/>
        <w:jc w:val="center"/>
        <w:rPr>
          <w:rFonts w:hint="eastAsia" w:ascii="宋体" w:hAnsi="宋体" w:eastAsia="宋体" w:cs="方正黑体_GBK"/>
          <w:b/>
          <w:sz w:val="32"/>
          <w:szCs w:val="32"/>
          <w:highlight w:val="none"/>
          <w:lang w:eastAsia="zh-CN"/>
        </w:rPr>
      </w:pPr>
    </w:p>
    <w:p w14:paraId="65E30BFA">
      <w:pPr>
        <w:keepNext w:val="0"/>
        <w:keepLines w:val="0"/>
        <w:pageBreakBefore w:val="0"/>
        <w:kinsoku/>
        <w:wordWrap/>
        <w:overflowPunct/>
        <w:topLinePunct w:val="0"/>
        <w:autoSpaceDE/>
        <w:autoSpaceDN/>
        <w:bidi w:val="0"/>
        <w:snapToGrid w:val="0"/>
        <w:spacing w:line="600" w:lineRule="exact"/>
        <w:jc w:val="center"/>
        <w:rPr>
          <w:rFonts w:hint="eastAsia" w:ascii="方正小标宋_GBK" w:hAnsi="方正小标宋_GBK" w:eastAsia="方正小标宋_GBK" w:cs="方正小标宋_GBK"/>
          <w:b w:val="0"/>
          <w:bCs/>
          <w:spacing w:val="6"/>
          <w:sz w:val="44"/>
          <w:szCs w:val="44"/>
          <w:highlight w:val="none"/>
        </w:rPr>
      </w:pPr>
      <w:r>
        <w:rPr>
          <w:rFonts w:hint="eastAsia" w:ascii="方正小标宋_GBK" w:hAnsi="方正小标宋_GBK" w:eastAsia="方正小标宋_GBK" w:cs="方正小标宋_GBK"/>
          <w:b w:val="0"/>
          <w:bCs/>
          <w:sz w:val="44"/>
          <w:szCs w:val="44"/>
          <w:highlight w:val="none"/>
          <w:lang w:eastAsia="zh-CN"/>
        </w:rPr>
        <w:t>景洪市</w:t>
      </w:r>
      <w:r>
        <w:rPr>
          <w:rFonts w:hint="eastAsia" w:ascii="方正小标宋_GBK" w:hAnsi="方正小标宋_GBK" w:eastAsia="方正小标宋_GBK" w:cs="方正小标宋_GBK"/>
          <w:b w:val="0"/>
          <w:bCs/>
          <w:sz w:val="44"/>
          <w:szCs w:val="44"/>
          <w:highlight w:val="none"/>
        </w:rPr>
        <w:t>松材线虫病疫情防控五年攻坚行动目标表</w:t>
      </w:r>
    </w:p>
    <w:p w14:paraId="31A67A15">
      <w:pPr>
        <w:keepNext w:val="0"/>
        <w:keepLines w:val="0"/>
        <w:pageBreakBefore w:val="0"/>
        <w:kinsoku/>
        <w:wordWrap/>
        <w:overflowPunct/>
        <w:topLinePunct w:val="0"/>
        <w:autoSpaceDE/>
        <w:autoSpaceDN/>
        <w:bidi w:val="0"/>
        <w:spacing w:line="600" w:lineRule="exact"/>
        <w:jc w:val="left"/>
        <w:rPr>
          <w:rFonts w:ascii="宋体" w:hAnsi="宋体" w:eastAsia="宋体" w:cs="Times New Roman"/>
          <w:b/>
          <w:spacing w:val="6"/>
          <w:sz w:val="32"/>
          <w:szCs w:val="32"/>
          <w:highlight w:val="none"/>
        </w:rPr>
      </w:pPr>
    </w:p>
    <w:tbl>
      <w:tblPr>
        <w:tblStyle w:val="13"/>
        <w:tblW w:w="13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980"/>
        <w:gridCol w:w="1800"/>
        <w:gridCol w:w="1220"/>
        <w:gridCol w:w="1440"/>
        <w:gridCol w:w="1552"/>
        <w:gridCol w:w="1776"/>
        <w:gridCol w:w="1664"/>
        <w:gridCol w:w="1516"/>
      </w:tblGrid>
      <w:tr w14:paraId="44323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14" w:type="dxa"/>
            <w:vMerge w:val="restart"/>
            <w:tcBorders>
              <w:top w:val="single" w:color="auto" w:sz="4" w:space="0"/>
              <w:left w:val="single" w:color="auto" w:sz="4" w:space="0"/>
              <w:bottom w:val="single" w:color="auto" w:sz="4" w:space="0"/>
              <w:right w:val="single" w:color="auto" w:sz="4" w:space="0"/>
            </w:tcBorders>
            <w:vAlign w:val="center"/>
          </w:tcPr>
          <w:p w14:paraId="302379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序号</w:t>
            </w:r>
          </w:p>
        </w:tc>
        <w:tc>
          <w:tcPr>
            <w:tcW w:w="1980" w:type="dxa"/>
            <w:vMerge w:val="restart"/>
            <w:tcBorders>
              <w:top w:val="single" w:color="auto" w:sz="4" w:space="0"/>
              <w:left w:val="single" w:color="auto" w:sz="4" w:space="0"/>
              <w:bottom w:val="single" w:color="auto" w:sz="4" w:space="0"/>
              <w:right w:val="single" w:color="auto" w:sz="4" w:space="0"/>
            </w:tcBorders>
            <w:vAlign w:val="center"/>
          </w:tcPr>
          <w:p w14:paraId="13B3B8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区域区划</w:t>
            </w:r>
          </w:p>
        </w:tc>
        <w:tc>
          <w:tcPr>
            <w:tcW w:w="4460" w:type="dxa"/>
            <w:gridSpan w:val="3"/>
            <w:tcBorders>
              <w:top w:val="single" w:color="auto" w:sz="4" w:space="0"/>
              <w:left w:val="single" w:color="auto" w:sz="4" w:space="0"/>
              <w:bottom w:val="single" w:color="auto" w:sz="4" w:space="0"/>
              <w:right w:val="single" w:color="auto" w:sz="4" w:space="0"/>
            </w:tcBorders>
            <w:vAlign w:val="center"/>
          </w:tcPr>
          <w:p w14:paraId="2B9546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202</w:t>
            </w: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年秋季普查数据</w:t>
            </w:r>
          </w:p>
        </w:tc>
        <w:tc>
          <w:tcPr>
            <w:tcW w:w="6508" w:type="dxa"/>
            <w:gridSpan w:val="4"/>
            <w:tcBorders>
              <w:top w:val="single" w:color="auto" w:sz="4" w:space="0"/>
              <w:left w:val="single" w:color="auto" w:sz="4" w:space="0"/>
              <w:bottom w:val="single" w:color="auto" w:sz="4" w:space="0"/>
              <w:right w:val="single" w:color="auto" w:sz="4" w:space="0"/>
            </w:tcBorders>
            <w:vAlign w:val="center"/>
          </w:tcPr>
          <w:p w14:paraId="4AA3D2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2025年底控制指标</w:t>
            </w:r>
          </w:p>
        </w:tc>
      </w:tr>
      <w:tr w14:paraId="6C1FC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714" w:type="dxa"/>
            <w:vMerge w:val="continue"/>
            <w:tcBorders>
              <w:top w:val="single" w:color="auto" w:sz="4" w:space="0"/>
              <w:left w:val="single" w:color="auto" w:sz="4" w:space="0"/>
              <w:bottom w:val="single" w:color="auto" w:sz="4" w:space="0"/>
              <w:right w:val="single" w:color="auto" w:sz="4" w:space="0"/>
            </w:tcBorders>
            <w:vAlign w:val="center"/>
          </w:tcPr>
          <w:p w14:paraId="2F9CC5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p>
        </w:tc>
        <w:tc>
          <w:tcPr>
            <w:tcW w:w="1980" w:type="dxa"/>
            <w:vMerge w:val="continue"/>
            <w:tcBorders>
              <w:top w:val="single" w:color="auto" w:sz="4" w:space="0"/>
              <w:left w:val="single" w:color="auto" w:sz="4" w:space="0"/>
              <w:bottom w:val="single" w:color="auto" w:sz="4" w:space="0"/>
              <w:right w:val="single" w:color="auto" w:sz="4" w:space="0"/>
            </w:tcBorders>
            <w:vAlign w:val="center"/>
          </w:tcPr>
          <w:p w14:paraId="4021B8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p>
        </w:tc>
        <w:tc>
          <w:tcPr>
            <w:tcW w:w="1800" w:type="dxa"/>
            <w:tcBorders>
              <w:top w:val="single" w:color="auto" w:sz="4" w:space="0"/>
              <w:left w:val="single" w:color="auto" w:sz="4" w:space="0"/>
              <w:bottom w:val="single" w:color="auto" w:sz="4" w:space="0"/>
              <w:right w:val="single" w:color="auto" w:sz="4" w:space="0"/>
            </w:tcBorders>
            <w:vAlign w:val="center"/>
          </w:tcPr>
          <w:p w14:paraId="6DA7E3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县级疫区</w:t>
            </w:r>
          </w:p>
          <w:p w14:paraId="311607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（个）</w:t>
            </w:r>
          </w:p>
        </w:tc>
        <w:tc>
          <w:tcPr>
            <w:tcW w:w="1220" w:type="dxa"/>
            <w:tcBorders>
              <w:top w:val="single" w:color="auto" w:sz="4" w:space="0"/>
              <w:left w:val="single" w:color="auto" w:sz="4" w:space="0"/>
              <w:bottom w:val="single" w:color="auto" w:sz="4" w:space="0"/>
              <w:right w:val="single" w:color="auto" w:sz="4" w:space="0"/>
            </w:tcBorders>
            <w:vAlign w:val="center"/>
          </w:tcPr>
          <w:p w14:paraId="093CBB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乡镇点</w:t>
            </w:r>
          </w:p>
          <w:p w14:paraId="2D68BD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（个）</w:t>
            </w:r>
          </w:p>
        </w:tc>
        <w:tc>
          <w:tcPr>
            <w:tcW w:w="1440" w:type="dxa"/>
            <w:tcBorders>
              <w:top w:val="single" w:color="auto" w:sz="4" w:space="0"/>
              <w:left w:val="single" w:color="auto" w:sz="4" w:space="0"/>
              <w:bottom w:val="single" w:color="auto" w:sz="4" w:space="0"/>
              <w:right w:val="single" w:color="auto" w:sz="4" w:space="0"/>
            </w:tcBorders>
            <w:vAlign w:val="center"/>
          </w:tcPr>
          <w:p w14:paraId="64A28C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发生面积</w:t>
            </w:r>
          </w:p>
          <w:p w14:paraId="7F1B7E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（万亩）</w:t>
            </w:r>
          </w:p>
        </w:tc>
        <w:tc>
          <w:tcPr>
            <w:tcW w:w="1552" w:type="dxa"/>
            <w:tcBorders>
              <w:top w:val="single" w:color="auto" w:sz="4" w:space="0"/>
              <w:left w:val="single" w:color="auto" w:sz="4" w:space="0"/>
              <w:bottom w:val="single" w:color="auto" w:sz="4" w:space="0"/>
              <w:right w:val="single" w:color="auto" w:sz="4" w:space="0"/>
            </w:tcBorders>
            <w:vAlign w:val="center"/>
          </w:tcPr>
          <w:p w14:paraId="0B5258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县级疫区</w:t>
            </w:r>
          </w:p>
          <w:p w14:paraId="5F60BA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（个）</w:t>
            </w:r>
          </w:p>
        </w:tc>
        <w:tc>
          <w:tcPr>
            <w:tcW w:w="1776" w:type="dxa"/>
            <w:tcBorders>
              <w:top w:val="single" w:color="auto" w:sz="4" w:space="0"/>
              <w:left w:val="single" w:color="auto" w:sz="4" w:space="0"/>
              <w:bottom w:val="single" w:color="auto" w:sz="4" w:space="0"/>
              <w:right w:val="single" w:color="auto" w:sz="4" w:space="0"/>
            </w:tcBorders>
            <w:vAlign w:val="center"/>
          </w:tcPr>
          <w:p w14:paraId="306AD0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乡镇级疫点（个）</w:t>
            </w:r>
          </w:p>
        </w:tc>
        <w:tc>
          <w:tcPr>
            <w:tcW w:w="1664" w:type="dxa"/>
            <w:tcBorders>
              <w:top w:val="single" w:color="auto" w:sz="4" w:space="0"/>
              <w:left w:val="single" w:color="auto" w:sz="4" w:space="0"/>
              <w:bottom w:val="single" w:color="auto" w:sz="4" w:space="0"/>
              <w:right w:val="single" w:color="auto" w:sz="4" w:space="0"/>
            </w:tcBorders>
            <w:vAlign w:val="center"/>
          </w:tcPr>
          <w:p w14:paraId="195DA9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发生面积</w:t>
            </w:r>
          </w:p>
          <w:p w14:paraId="30BF4D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（万亩）</w:t>
            </w:r>
          </w:p>
        </w:tc>
        <w:tc>
          <w:tcPr>
            <w:tcW w:w="1516" w:type="dxa"/>
            <w:tcBorders>
              <w:top w:val="single" w:color="auto" w:sz="4" w:space="0"/>
              <w:left w:val="single" w:color="auto" w:sz="4" w:space="0"/>
              <w:bottom w:val="single" w:color="auto" w:sz="4" w:space="0"/>
              <w:right w:val="single" w:color="auto" w:sz="4" w:space="0"/>
            </w:tcBorders>
            <w:vAlign w:val="center"/>
          </w:tcPr>
          <w:p w14:paraId="4FB428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重点地</w:t>
            </w:r>
          </w:p>
          <w:p w14:paraId="2284FE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区指标</w:t>
            </w:r>
          </w:p>
        </w:tc>
      </w:tr>
      <w:tr w14:paraId="61C23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14:paraId="7B3CB3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w:t>
            </w:r>
          </w:p>
        </w:tc>
        <w:tc>
          <w:tcPr>
            <w:tcW w:w="1980" w:type="dxa"/>
            <w:tcBorders>
              <w:top w:val="single" w:color="auto" w:sz="4" w:space="0"/>
              <w:left w:val="single" w:color="auto" w:sz="4" w:space="0"/>
              <w:bottom w:val="single" w:color="auto" w:sz="4" w:space="0"/>
              <w:right w:val="single" w:color="auto" w:sz="4" w:space="0"/>
            </w:tcBorders>
            <w:vAlign w:val="center"/>
          </w:tcPr>
          <w:p w14:paraId="52CB9E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eastAsia" w:ascii="Times New Roman" w:hAnsi="Times New Roman" w:eastAsia="方正仿宋_GBK" w:cs="Times New Roman"/>
                <w:sz w:val="28"/>
                <w:szCs w:val="28"/>
                <w:lang w:eastAsia="zh-CN"/>
              </w:rPr>
              <w:t>景洪市</w:t>
            </w:r>
          </w:p>
        </w:tc>
        <w:tc>
          <w:tcPr>
            <w:tcW w:w="1800" w:type="dxa"/>
            <w:tcBorders>
              <w:top w:val="single" w:color="auto" w:sz="4" w:space="0"/>
              <w:left w:val="single" w:color="auto" w:sz="4" w:space="0"/>
              <w:bottom w:val="single" w:color="auto" w:sz="4" w:space="0"/>
              <w:right w:val="single" w:color="auto" w:sz="4" w:space="0"/>
            </w:tcBorders>
            <w:vAlign w:val="center"/>
          </w:tcPr>
          <w:p w14:paraId="3B54B8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0</w:t>
            </w:r>
          </w:p>
        </w:tc>
        <w:tc>
          <w:tcPr>
            <w:tcW w:w="1220" w:type="dxa"/>
            <w:tcBorders>
              <w:top w:val="single" w:color="auto" w:sz="4" w:space="0"/>
              <w:left w:val="single" w:color="auto" w:sz="4" w:space="0"/>
              <w:bottom w:val="single" w:color="auto" w:sz="4" w:space="0"/>
              <w:right w:val="single" w:color="auto" w:sz="4" w:space="0"/>
            </w:tcBorders>
            <w:vAlign w:val="center"/>
          </w:tcPr>
          <w:p w14:paraId="301B35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0</w:t>
            </w:r>
          </w:p>
        </w:tc>
        <w:tc>
          <w:tcPr>
            <w:tcW w:w="1440" w:type="dxa"/>
            <w:tcBorders>
              <w:top w:val="single" w:color="auto" w:sz="4" w:space="0"/>
              <w:left w:val="single" w:color="auto" w:sz="4" w:space="0"/>
              <w:bottom w:val="single" w:color="auto" w:sz="4" w:space="0"/>
              <w:right w:val="single" w:color="auto" w:sz="4" w:space="0"/>
            </w:tcBorders>
            <w:vAlign w:val="center"/>
          </w:tcPr>
          <w:p w14:paraId="147E6B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0</w:t>
            </w:r>
          </w:p>
        </w:tc>
        <w:tc>
          <w:tcPr>
            <w:tcW w:w="1552" w:type="dxa"/>
            <w:tcBorders>
              <w:top w:val="single" w:color="auto" w:sz="4" w:space="0"/>
              <w:left w:val="single" w:color="auto" w:sz="4" w:space="0"/>
              <w:bottom w:val="single" w:color="auto" w:sz="4" w:space="0"/>
              <w:right w:val="single" w:color="auto" w:sz="4" w:space="0"/>
            </w:tcBorders>
            <w:vAlign w:val="center"/>
          </w:tcPr>
          <w:p w14:paraId="5237E4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0</w:t>
            </w:r>
          </w:p>
        </w:tc>
        <w:tc>
          <w:tcPr>
            <w:tcW w:w="1776" w:type="dxa"/>
            <w:tcBorders>
              <w:top w:val="single" w:color="auto" w:sz="4" w:space="0"/>
              <w:left w:val="single" w:color="auto" w:sz="4" w:space="0"/>
              <w:bottom w:val="single" w:color="auto" w:sz="4" w:space="0"/>
              <w:right w:val="single" w:color="auto" w:sz="4" w:space="0"/>
            </w:tcBorders>
            <w:vAlign w:val="center"/>
          </w:tcPr>
          <w:p w14:paraId="3032A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w:t>
            </w:r>
          </w:p>
        </w:tc>
        <w:tc>
          <w:tcPr>
            <w:tcW w:w="1664" w:type="dxa"/>
            <w:tcBorders>
              <w:top w:val="single" w:color="auto" w:sz="4" w:space="0"/>
              <w:left w:val="single" w:color="auto" w:sz="4" w:space="0"/>
              <w:bottom w:val="single" w:color="auto" w:sz="4" w:space="0"/>
              <w:right w:val="single" w:color="auto" w:sz="4" w:space="0"/>
            </w:tcBorders>
            <w:vAlign w:val="center"/>
          </w:tcPr>
          <w:p w14:paraId="5A55A3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w:t>
            </w:r>
          </w:p>
        </w:tc>
        <w:tc>
          <w:tcPr>
            <w:tcW w:w="1516" w:type="dxa"/>
            <w:tcBorders>
              <w:top w:val="single" w:color="auto" w:sz="4" w:space="0"/>
              <w:left w:val="single" w:color="auto" w:sz="4" w:space="0"/>
              <w:bottom w:val="single" w:color="auto" w:sz="4" w:space="0"/>
              <w:right w:val="single" w:color="auto" w:sz="4" w:space="0"/>
            </w:tcBorders>
            <w:vAlign w:val="center"/>
          </w:tcPr>
          <w:p w14:paraId="73CCDE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rPr>
            </w:pPr>
          </w:p>
        </w:tc>
      </w:tr>
      <w:tr w14:paraId="12CD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jc w:val="center"/>
        </w:trPr>
        <w:tc>
          <w:tcPr>
            <w:tcW w:w="714" w:type="dxa"/>
            <w:tcBorders>
              <w:left w:val="single" w:color="auto" w:sz="4" w:space="0"/>
              <w:right w:val="single" w:color="auto" w:sz="4" w:space="0"/>
            </w:tcBorders>
            <w:vAlign w:val="center"/>
          </w:tcPr>
          <w:p w14:paraId="04DA2F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2</w:t>
            </w:r>
          </w:p>
        </w:tc>
        <w:tc>
          <w:tcPr>
            <w:tcW w:w="1980" w:type="dxa"/>
            <w:tcBorders>
              <w:left w:val="single" w:color="auto" w:sz="4" w:space="0"/>
              <w:right w:val="single" w:color="auto" w:sz="4" w:space="0"/>
            </w:tcBorders>
            <w:vAlign w:val="center"/>
          </w:tcPr>
          <w:p w14:paraId="12E091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重点预防区</w:t>
            </w:r>
          </w:p>
          <w:p w14:paraId="72F1CF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lang w:val="en-US" w:eastAsia="zh-CN"/>
              </w:rPr>
              <w:t>11</w:t>
            </w:r>
            <w:r>
              <w:rPr>
                <w:rFonts w:hint="default" w:ascii="Times New Roman" w:hAnsi="Times New Roman" w:eastAsia="方正仿宋_GBK" w:cs="Times New Roman"/>
                <w:sz w:val="28"/>
                <w:szCs w:val="28"/>
                <w:lang w:val="en-US" w:eastAsia="zh-CN"/>
              </w:rPr>
              <w:t>个</w:t>
            </w:r>
            <w:r>
              <w:rPr>
                <w:rFonts w:hint="default" w:ascii="Times New Roman" w:hAnsi="Times New Roman" w:eastAsia="方正仿宋_GBK" w:cs="Times New Roman"/>
                <w:sz w:val="28"/>
                <w:szCs w:val="28"/>
                <w:lang w:eastAsia="zh-CN"/>
              </w:rPr>
              <w:t>）</w:t>
            </w:r>
          </w:p>
        </w:tc>
        <w:tc>
          <w:tcPr>
            <w:tcW w:w="1800" w:type="dxa"/>
            <w:tcBorders>
              <w:top w:val="single" w:color="auto" w:sz="4" w:space="0"/>
              <w:left w:val="single" w:color="auto" w:sz="4" w:space="0"/>
              <w:bottom w:val="single" w:color="auto" w:sz="4" w:space="0"/>
              <w:right w:val="single" w:color="auto" w:sz="4" w:space="0"/>
            </w:tcBorders>
            <w:vAlign w:val="center"/>
          </w:tcPr>
          <w:p w14:paraId="7C2814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w:t>
            </w:r>
          </w:p>
        </w:tc>
        <w:tc>
          <w:tcPr>
            <w:tcW w:w="1220" w:type="dxa"/>
            <w:tcBorders>
              <w:top w:val="single" w:color="auto" w:sz="4" w:space="0"/>
              <w:left w:val="single" w:color="auto" w:sz="4" w:space="0"/>
              <w:bottom w:val="single" w:color="auto" w:sz="4" w:space="0"/>
              <w:right w:val="single" w:color="auto" w:sz="4" w:space="0"/>
            </w:tcBorders>
            <w:vAlign w:val="center"/>
          </w:tcPr>
          <w:p w14:paraId="232DCC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w:t>
            </w:r>
          </w:p>
        </w:tc>
        <w:tc>
          <w:tcPr>
            <w:tcW w:w="1440" w:type="dxa"/>
            <w:tcBorders>
              <w:top w:val="single" w:color="auto" w:sz="4" w:space="0"/>
              <w:left w:val="single" w:color="auto" w:sz="4" w:space="0"/>
              <w:bottom w:val="single" w:color="auto" w:sz="4" w:space="0"/>
              <w:right w:val="single" w:color="auto" w:sz="4" w:space="0"/>
            </w:tcBorders>
            <w:vAlign w:val="center"/>
          </w:tcPr>
          <w:p w14:paraId="310DB8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w:t>
            </w:r>
          </w:p>
        </w:tc>
        <w:tc>
          <w:tcPr>
            <w:tcW w:w="6508" w:type="dxa"/>
            <w:gridSpan w:val="4"/>
            <w:tcBorders>
              <w:top w:val="single" w:color="auto" w:sz="4" w:space="0"/>
              <w:left w:val="single" w:color="auto" w:sz="4" w:space="0"/>
              <w:bottom w:val="single" w:color="auto" w:sz="4" w:space="0"/>
              <w:right w:val="single" w:color="auto" w:sz="4" w:space="0"/>
            </w:tcBorders>
            <w:vAlign w:val="center"/>
          </w:tcPr>
          <w:p w14:paraId="016428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力争到2025年县级疫区数量控制在0个；</w:t>
            </w:r>
          </w:p>
          <w:p w14:paraId="111B1E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202</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年秋季普查之前新发的疫区，3年内实现拔除；</w:t>
            </w:r>
          </w:p>
          <w:p w14:paraId="270D6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2023年秋季普查及以后的新发疫区，1年内实现无疫情。</w:t>
            </w:r>
          </w:p>
        </w:tc>
      </w:tr>
    </w:tbl>
    <w:p w14:paraId="49A1744F">
      <w:pPr>
        <w:pStyle w:val="2"/>
        <w:keepNext w:val="0"/>
        <w:keepLines w:val="0"/>
        <w:pageBreakBefore w:val="0"/>
        <w:kinsoku/>
        <w:wordWrap/>
        <w:overflowPunct/>
        <w:topLinePunct w:val="0"/>
        <w:autoSpaceDE/>
        <w:autoSpaceDN/>
        <w:bidi w:val="0"/>
        <w:spacing w:line="600" w:lineRule="exact"/>
        <w:ind w:left="0" w:leftChars="0" w:firstLine="0" w:firstLineChars="0"/>
        <w:rPr>
          <w:rFonts w:hint="eastAsia" w:ascii="黑体" w:hAnsi="黑体" w:eastAsia="黑体" w:cs="Times New Roman"/>
          <w:b w:val="0"/>
          <w:bCs/>
          <w:sz w:val="32"/>
          <w:szCs w:val="32"/>
          <w:highlight w:val="none"/>
        </w:rPr>
      </w:pPr>
    </w:p>
    <w:p w14:paraId="2245F760">
      <w:pPr>
        <w:keepNext w:val="0"/>
        <w:keepLines w:val="0"/>
        <w:pageBreakBefore w:val="0"/>
        <w:kinsoku/>
        <w:wordWrap/>
        <w:overflowPunct/>
        <w:topLinePunct w:val="0"/>
        <w:autoSpaceDE/>
        <w:autoSpaceDN/>
        <w:bidi w:val="0"/>
        <w:spacing w:line="600" w:lineRule="exact"/>
        <w:rPr>
          <w:rFonts w:hint="default" w:ascii="Times New Roman" w:hAnsi="Times New Roman" w:eastAsia="方正仿宋_GBK" w:cs="Times New Roman"/>
          <w:b w:val="0"/>
          <w:bCs/>
          <w:sz w:val="32"/>
          <w:szCs w:val="32"/>
          <w:highlight w:val="none"/>
        </w:rPr>
        <w:sectPr>
          <w:footerReference r:id="rId7" w:type="default"/>
          <w:pgSz w:w="16838" w:h="11906" w:orient="landscape"/>
          <w:pgMar w:top="1701" w:right="1417" w:bottom="1701" w:left="1587" w:header="851" w:footer="1587" w:gutter="0"/>
          <w:pgNumType w:fmt="decimal"/>
          <w:cols w:space="0" w:num="1"/>
          <w:rtlGutter w:val="0"/>
          <w:docGrid w:type="lines" w:linePitch="327" w:charSpace="0"/>
        </w:sectPr>
      </w:pPr>
    </w:p>
    <w:p w14:paraId="69FE2182">
      <w:pPr>
        <w:keepNext w:val="0"/>
        <w:keepLines w:val="0"/>
        <w:pageBreakBefore w:val="0"/>
        <w:kinsoku/>
        <w:wordWrap/>
        <w:overflowPunct/>
        <w:topLinePunct w:val="0"/>
        <w:autoSpaceDE/>
        <w:autoSpaceDN/>
        <w:bidi w:val="0"/>
        <w:snapToGrid w:val="0"/>
        <w:spacing w:line="600" w:lineRule="exact"/>
        <w:jc w:val="left"/>
        <w:rPr>
          <w:rFonts w:hint="eastAsia" w:ascii="Times New Roman" w:hAnsi="Times New Roman" w:eastAsia="方正仿宋_GBK" w:cs="Times New Roman"/>
          <w:b w:val="0"/>
          <w:bCs/>
          <w:sz w:val="32"/>
          <w:szCs w:val="32"/>
          <w:highlight w:val="none"/>
          <w:lang w:val="en-US" w:eastAsia="zh-CN"/>
        </w:rPr>
      </w:pPr>
      <w:r>
        <w:rPr>
          <w:rFonts w:hint="eastAsia" w:ascii="Times New Roman" w:hAnsi="Times New Roman" w:eastAsia="方正仿宋_GBK" w:cs="Times New Roman"/>
          <w:b w:val="0"/>
          <w:bCs/>
          <w:sz w:val="32"/>
          <w:szCs w:val="32"/>
          <w:highlight w:val="none"/>
        </w:rPr>
        <w:t>附</w:t>
      </w:r>
      <w:r>
        <w:rPr>
          <w:rFonts w:hint="eastAsia" w:ascii="Times New Roman" w:hAnsi="Times New Roman" w:eastAsia="方正仿宋_GBK" w:cs="Times New Roman"/>
          <w:b w:val="0"/>
          <w:bCs/>
          <w:sz w:val="32"/>
          <w:szCs w:val="32"/>
          <w:highlight w:val="none"/>
          <w:lang w:eastAsia="zh-CN"/>
        </w:rPr>
        <w:t>件</w:t>
      </w:r>
      <w:r>
        <w:rPr>
          <w:rFonts w:hint="eastAsia" w:ascii="Times New Roman" w:hAnsi="Times New Roman" w:eastAsia="方正仿宋_GBK" w:cs="Times New Roman"/>
          <w:b w:val="0"/>
          <w:bCs/>
          <w:sz w:val="32"/>
          <w:szCs w:val="32"/>
          <w:highlight w:val="none"/>
          <w:lang w:val="en-US" w:eastAsia="zh-CN"/>
        </w:rPr>
        <w:t>2</w:t>
      </w:r>
    </w:p>
    <w:p w14:paraId="71411D18">
      <w:pPr>
        <w:spacing w:line="620" w:lineRule="exact"/>
        <w:jc w:val="center"/>
        <w:rPr>
          <w:rFonts w:hint="eastAsia" w:ascii="方正小标宋_GBK" w:hAnsi="方正小标宋_GBK" w:eastAsia="方正小标宋_GBK" w:cs="方正小标宋_GBK"/>
          <w:b w:val="0"/>
          <w:bCs/>
          <w:sz w:val="44"/>
          <w:szCs w:val="44"/>
          <w:highlight w:val="none"/>
          <w:lang w:val="en-US"/>
        </w:rPr>
      </w:pPr>
      <w:r>
        <w:rPr>
          <w:rFonts w:hint="eastAsia" w:ascii="方正小标宋_GBK" w:hAnsi="方正小标宋_GBK" w:eastAsia="方正小标宋_GBK" w:cs="方正小标宋_GBK"/>
          <w:b w:val="0"/>
          <w:bCs/>
          <w:kern w:val="0"/>
          <w:sz w:val="44"/>
          <w:szCs w:val="44"/>
          <w:highlight w:val="none"/>
        </w:rPr>
        <w:t>县（市</w:t>
      </w:r>
      <w:r>
        <w:rPr>
          <w:rFonts w:hint="eastAsia" w:ascii="方正小标宋_GBK" w:hAnsi="方正小标宋_GBK" w:eastAsia="方正小标宋_GBK" w:cs="方正小标宋_GBK"/>
          <w:b w:val="0"/>
          <w:bCs/>
          <w:kern w:val="0"/>
          <w:sz w:val="44"/>
          <w:szCs w:val="44"/>
          <w:highlight w:val="none"/>
          <w:lang w:eastAsia="zh-CN"/>
        </w:rPr>
        <w:t>）</w:t>
      </w:r>
      <w:r>
        <w:rPr>
          <w:rFonts w:hint="eastAsia" w:ascii="方正小标宋_GBK" w:hAnsi="方正小标宋_GBK" w:eastAsia="方正小标宋_GBK" w:cs="方正小标宋_GBK"/>
          <w:b w:val="0"/>
          <w:bCs/>
          <w:kern w:val="0"/>
          <w:sz w:val="44"/>
          <w:szCs w:val="44"/>
          <w:highlight w:val="none"/>
        </w:rPr>
        <w:t>松材线虫病监测、处置网格化管理任务分解（样）表</w:t>
      </w:r>
    </w:p>
    <w:tbl>
      <w:tblPr>
        <w:tblStyle w:val="13"/>
        <w:tblW w:w="13993" w:type="dxa"/>
        <w:tblInd w:w="0" w:type="dxa"/>
        <w:tblLayout w:type="fixed"/>
        <w:tblCellMar>
          <w:top w:w="0" w:type="dxa"/>
          <w:left w:w="108" w:type="dxa"/>
          <w:bottom w:w="0" w:type="dxa"/>
          <w:right w:w="108" w:type="dxa"/>
        </w:tblCellMar>
      </w:tblPr>
      <w:tblGrid>
        <w:gridCol w:w="703"/>
        <w:gridCol w:w="1104"/>
        <w:gridCol w:w="600"/>
        <w:gridCol w:w="733"/>
        <w:gridCol w:w="800"/>
        <w:gridCol w:w="717"/>
        <w:gridCol w:w="496"/>
        <w:gridCol w:w="956"/>
        <w:gridCol w:w="1064"/>
        <w:gridCol w:w="520"/>
        <w:gridCol w:w="959"/>
        <w:gridCol w:w="1105"/>
        <w:gridCol w:w="566"/>
        <w:gridCol w:w="703"/>
        <w:gridCol w:w="729"/>
        <w:gridCol w:w="382"/>
        <w:gridCol w:w="341"/>
        <w:gridCol w:w="732"/>
        <w:gridCol w:w="783"/>
      </w:tblGrid>
      <w:tr w14:paraId="170EB52B">
        <w:trPr>
          <w:trHeight w:val="283" w:hRule="exact"/>
        </w:trPr>
        <w:tc>
          <w:tcPr>
            <w:tcW w:w="13993" w:type="dxa"/>
            <w:gridSpan w:val="19"/>
            <w:tcBorders>
              <w:top w:val="nil"/>
              <w:left w:val="nil"/>
              <w:bottom w:val="single" w:color="auto" w:sz="4" w:space="0"/>
              <w:right w:val="nil"/>
            </w:tcBorders>
            <w:shd w:val="clear" w:color="auto" w:fill="auto"/>
            <w:vAlign w:val="center"/>
          </w:tcPr>
          <w:p w14:paraId="6DD5E42C">
            <w:pPr>
              <w:keepNext w:val="0"/>
              <w:keepLines w:val="0"/>
              <w:widowControl/>
              <w:suppressLineNumbers w:val="0"/>
              <w:spacing w:before="0" w:beforeAutospacing="0" w:after="0" w:afterAutospacing="0"/>
              <w:ind w:left="0" w:right="0"/>
              <w:jc w:val="center"/>
              <w:rPr>
                <w:rFonts w:hint="default" w:ascii="黑体" w:hAnsi="黑体" w:eastAsia="黑体" w:cs="宋体"/>
                <w:b w:val="0"/>
                <w:bCs/>
                <w:kern w:val="0"/>
                <w:sz w:val="28"/>
                <w:szCs w:val="28"/>
                <w:highlight w:val="none"/>
              </w:rPr>
            </w:pPr>
          </w:p>
        </w:tc>
      </w:tr>
      <w:tr w14:paraId="73B122C6">
        <w:tblPrEx>
          <w:tblCellMar>
            <w:top w:w="0" w:type="dxa"/>
            <w:left w:w="108" w:type="dxa"/>
            <w:bottom w:w="0" w:type="dxa"/>
            <w:right w:w="108" w:type="dxa"/>
          </w:tblCellMar>
        </w:tblPrEx>
        <w:trPr>
          <w:trHeight w:val="90" w:hRule="atLeast"/>
        </w:trPr>
        <w:tc>
          <w:tcPr>
            <w:tcW w:w="1807"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2B1931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责任单位（乡镇（街道）、社区）签章：</w:t>
            </w:r>
          </w:p>
        </w:tc>
        <w:tc>
          <w:tcPr>
            <w:tcW w:w="3346" w:type="dxa"/>
            <w:gridSpan w:val="5"/>
            <w:tcBorders>
              <w:top w:val="single" w:color="auto" w:sz="4" w:space="0"/>
              <w:left w:val="nil"/>
              <w:bottom w:val="single" w:color="auto" w:sz="4" w:space="0"/>
              <w:right w:val="single" w:color="000000" w:sz="4" w:space="0"/>
            </w:tcBorders>
            <w:shd w:val="clear" w:color="auto" w:fill="auto"/>
            <w:vAlign w:val="center"/>
          </w:tcPr>
          <w:p w14:paraId="1F47FA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2540" w:type="dxa"/>
            <w:gridSpan w:val="3"/>
            <w:tcBorders>
              <w:top w:val="single" w:color="auto" w:sz="4" w:space="0"/>
              <w:left w:val="nil"/>
              <w:bottom w:val="single" w:color="auto" w:sz="4" w:space="0"/>
              <w:right w:val="single" w:color="000000" w:sz="4" w:space="0"/>
            </w:tcBorders>
            <w:shd w:val="clear" w:color="auto" w:fill="auto"/>
            <w:vAlign w:val="center"/>
          </w:tcPr>
          <w:p w14:paraId="64306C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监测、处置责任人</w:t>
            </w:r>
            <w:r>
              <w:rPr>
                <w:rFonts w:hint="eastAsia" w:ascii="方正仿宋_GBK" w:hAnsi="方正仿宋_GBK" w:eastAsia="方正仿宋_GBK" w:cs="方正仿宋_GBK"/>
                <w:b w:val="0"/>
                <w:bCs/>
                <w:color w:val="000000"/>
                <w:kern w:val="0"/>
                <w:sz w:val="24"/>
                <w:szCs w:val="24"/>
                <w:highlight w:val="none"/>
              </w:rPr>
              <w:br w:type="textWrapping"/>
            </w:r>
            <w:r>
              <w:rPr>
                <w:rFonts w:hint="eastAsia" w:ascii="方正仿宋_GBK" w:hAnsi="方正仿宋_GBK" w:eastAsia="方正仿宋_GBK" w:cs="方正仿宋_GBK"/>
                <w:b w:val="0"/>
                <w:bCs/>
                <w:color w:val="000000"/>
                <w:kern w:val="0"/>
                <w:sz w:val="24"/>
                <w:szCs w:val="24"/>
                <w:highlight w:val="none"/>
              </w:rPr>
              <w:t>（护林员）签字：</w:t>
            </w:r>
          </w:p>
        </w:tc>
        <w:tc>
          <w:tcPr>
            <w:tcW w:w="2630" w:type="dxa"/>
            <w:gridSpan w:val="3"/>
            <w:tcBorders>
              <w:top w:val="single" w:color="auto" w:sz="4" w:space="0"/>
              <w:left w:val="nil"/>
              <w:bottom w:val="single" w:color="auto" w:sz="4" w:space="0"/>
              <w:right w:val="single" w:color="000000" w:sz="4" w:space="0"/>
            </w:tcBorders>
            <w:shd w:val="clear" w:color="auto" w:fill="auto"/>
            <w:vAlign w:val="center"/>
          </w:tcPr>
          <w:p w14:paraId="51133A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default" w:ascii="方正仿宋_GBK" w:hAnsi="方正仿宋_GBK" w:eastAsia="方正仿宋_GBK" w:cs="方正仿宋_GBK"/>
                <w:b w:val="0"/>
                <w:bCs/>
                <w:color w:val="000000"/>
                <w:kern w:val="0"/>
                <w:sz w:val="24"/>
                <w:szCs w:val="24"/>
                <w:highlight w:val="none"/>
              </w:rPr>
              <w:t>　</w:t>
            </w:r>
          </w:p>
        </w:tc>
        <w:tc>
          <w:tcPr>
            <w:tcW w:w="1814" w:type="dxa"/>
            <w:gridSpan w:val="3"/>
            <w:tcBorders>
              <w:top w:val="single" w:color="auto" w:sz="4" w:space="0"/>
              <w:left w:val="nil"/>
              <w:bottom w:val="single" w:color="auto" w:sz="4" w:space="0"/>
              <w:right w:val="single" w:color="000000" w:sz="4" w:space="0"/>
            </w:tcBorders>
            <w:shd w:val="clear" w:color="auto" w:fill="auto"/>
            <w:vAlign w:val="center"/>
          </w:tcPr>
          <w:p w14:paraId="12C842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监管人员</w:t>
            </w:r>
          </w:p>
          <w:p w14:paraId="0A7F33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（签字）</w:t>
            </w:r>
          </w:p>
        </w:tc>
        <w:tc>
          <w:tcPr>
            <w:tcW w:w="1856" w:type="dxa"/>
            <w:gridSpan w:val="3"/>
            <w:tcBorders>
              <w:top w:val="single" w:color="auto" w:sz="4" w:space="0"/>
              <w:left w:val="nil"/>
              <w:bottom w:val="single" w:color="auto" w:sz="4" w:space="0"/>
              <w:right w:val="single" w:color="000000" w:sz="4" w:space="0"/>
            </w:tcBorders>
            <w:shd w:val="clear" w:color="auto" w:fill="auto"/>
            <w:vAlign w:val="center"/>
          </w:tcPr>
          <w:p w14:paraId="59C8AB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default" w:ascii="方正仿宋_GBK" w:hAnsi="方正仿宋_GBK" w:eastAsia="方正仿宋_GBK" w:cs="方正仿宋_GBK"/>
                <w:b w:val="0"/>
                <w:bCs/>
                <w:color w:val="000000"/>
                <w:kern w:val="0"/>
                <w:sz w:val="24"/>
                <w:szCs w:val="24"/>
                <w:highlight w:val="none"/>
              </w:rPr>
              <w:t>　</w:t>
            </w:r>
          </w:p>
        </w:tc>
      </w:tr>
      <w:tr w14:paraId="1086E91A">
        <w:tblPrEx>
          <w:tblCellMar>
            <w:top w:w="0" w:type="dxa"/>
            <w:left w:w="108" w:type="dxa"/>
            <w:bottom w:w="0" w:type="dxa"/>
            <w:right w:w="108" w:type="dxa"/>
          </w:tblCellMar>
        </w:tblPrEx>
        <w:trPr>
          <w:trHeight w:val="90" w:hRule="atLeast"/>
        </w:trPr>
        <w:tc>
          <w:tcPr>
            <w:tcW w:w="703" w:type="dxa"/>
            <w:vMerge w:val="restart"/>
            <w:tcBorders>
              <w:top w:val="nil"/>
              <w:left w:val="single" w:color="auto" w:sz="4" w:space="0"/>
              <w:bottom w:val="single" w:color="auto" w:sz="4" w:space="0"/>
              <w:right w:val="single" w:color="auto" w:sz="4" w:space="0"/>
            </w:tcBorders>
            <w:shd w:val="clear" w:color="auto" w:fill="auto"/>
            <w:vAlign w:val="center"/>
          </w:tcPr>
          <w:p w14:paraId="76B2AA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序号</w:t>
            </w:r>
          </w:p>
        </w:tc>
        <w:tc>
          <w:tcPr>
            <w:tcW w:w="1104" w:type="dxa"/>
            <w:vMerge w:val="restart"/>
            <w:tcBorders>
              <w:top w:val="nil"/>
              <w:left w:val="single" w:color="auto" w:sz="4" w:space="0"/>
              <w:bottom w:val="single" w:color="auto" w:sz="4" w:space="0"/>
              <w:right w:val="single" w:color="auto" w:sz="4" w:space="0"/>
            </w:tcBorders>
            <w:shd w:val="clear" w:color="auto" w:fill="auto"/>
            <w:vAlign w:val="center"/>
          </w:tcPr>
          <w:p w14:paraId="37C5C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村（组）</w:t>
            </w:r>
          </w:p>
        </w:tc>
        <w:tc>
          <w:tcPr>
            <w:tcW w:w="1333" w:type="dxa"/>
            <w:gridSpan w:val="2"/>
            <w:tcBorders>
              <w:top w:val="single" w:color="auto" w:sz="4" w:space="0"/>
              <w:left w:val="nil"/>
              <w:bottom w:val="single" w:color="auto" w:sz="4" w:space="0"/>
              <w:right w:val="single" w:color="000000" w:sz="4" w:space="0"/>
            </w:tcBorders>
            <w:shd w:val="clear" w:color="auto" w:fill="auto"/>
            <w:vAlign w:val="center"/>
          </w:tcPr>
          <w:p w14:paraId="396015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任务</w:t>
            </w:r>
          </w:p>
        </w:tc>
        <w:tc>
          <w:tcPr>
            <w:tcW w:w="2013" w:type="dxa"/>
            <w:gridSpan w:val="3"/>
            <w:tcBorders>
              <w:top w:val="single" w:color="auto" w:sz="4" w:space="0"/>
              <w:left w:val="nil"/>
              <w:bottom w:val="single" w:color="auto" w:sz="4" w:space="0"/>
              <w:right w:val="single" w:color="000000" w:sz="4" w:space="0"/>
            </w:tcBorders>
            <w:shd w:val="clear" w:color="auto" w:fill="auto"/>
            <w:vAlign w:val="center"/>
          </w:tcPr>
          <w:p w14:paraId="2A1BCE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地理坐标</w:t>
            </w:r>
          </w:p>
        </w:tc>
        <w:tc>
          <w:tcPr>
            <w:tcW w:w="956" w:type="dxa"/>
            <w:vMerge w:val="restart"/>
            <w:tcBorders>
              <w:top w:val="nil"/>
              <w:left w:val="single" w:color="auto" w:sz="4" w:space="0"/>
              <w:bottom w:val="single" w:color="000000" w:sz="4" w:space="0"/>
              <w:right w:val="single" w:color="auto" w:sz="4" w:space="0"/>
            </w:tcBorders>
            <w:shd w:val="clear" w:color="auto" w:fill="auto"/>
            <w:vAlign w:val="center"/>
          </w:tcPr>
          <w:p w14:paraId="60E51D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小班面积（亩）</w:t>
            </w:r>
            <w:r>
              <w:rPr>
                <w:rFonts w:hint="eastAsia" w:ascii="方正仿宋_GBK" w:hAnsi="方正仿宋_GBK" w:eastAsia="方正仿宋_GBK" w:cs="方正仿宋_GBK"/>
                <w:b w:val="0"/>
                <w:bCs/>
                <w:color w:val="000000"/>
                <w:kern w:val="0"/>
                <w:sz w:val="24"/>
                <w:szCs w:val="24"/>
                <w:highlight w:val="none"/>
              </w:rPr>
              <w:br w:type="textWrapping"/>
            </w:r>
            <w:r>
              <w:rPr>
                <w:rFonts w:hint="eastAsia" w:ascii="方正仿宋_GBK" w:hAnsi="方正仿宋_GBK" w:eastAsia="方正仿宋_GBK" w:cs="方正仿宋_GBK"/>
                <w:b w:val="0"/>
                <w:bCs/>
                <w:color w:val="000000"/>
                <w:kern w:val="0"/>
                <w:sz w:val="24"/>
                <w:szCs w:val="24"/>
                <w:highlight w:val="none"/>
              </w:rPr>
              <w:t>一张图</w:t>
            </w:r>
          </w:p>
        </w:tc>
        <w:tc>
          <w:tcPr>
            <w:tcW w:w="1064" w:type="dxa"/>
            <w:vMerge w:val="restart"/>
            <w:tcBorders>
              <w:top w:val="nil"/>
              <w:left w:val="single" w:color="auto" w:sz="4" w:space="0"/>
              <w:bottom w:val="single" w:color="000000" w:sz="4" w:space="0"/>
              <w:right w:val="single" w:color="auto" w:sz="4" w:space="0"/>
            </w:tcBorders>
            <w:shd w:val="clear" w:color="auto" w:fill="auto"/>
            <w:vAlign w:val="center"/>
          </w:tcPr>
          <w:p w14:paraId="17CF82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踏查点（小地名）</w:t>
            </w:r>
          </w:p>
        </w:tc>
        <w:tc>
          <w:tcPr>
            <w:tcW w:w="520" w:type="dxa"/>
            <w:vMerge w:val="restart"/>
            <w:tcBorders>
              <w:top w:val="nil"/>
              <w:left w:val="single" w:color="auto" w:sz="4" w:space="0"/>
              <w:bottom w:val="single" w:color="auto" w:sz="4" w:space="0"/>
              <w:right w:val="single" w:color="auto" w:sz="4" w:space="0"/>
            </w:tcBorders>
            <w:shd w:val="clear" w:color="auto" w:fill="auto"/>
            <w:vAlign w:val="center"/>
          </w:tcPr>
          <w:p w14:paraId="2D5D9F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林分组成</w:t>
            </w:r>
          </w:p>
        </w:tc>
        <w:tc>
          <w:tcPr>
            <w:tcW w:w="959" w:type="dxa"/>
            <w:vMerge w:val="restart"/>
            <w:tcBorders>
              <w:top w:val="nil"/>
              <w:left w:val="single" w:color="auto" w:sz="4" w:space="0"/>
              <w:bottom w:val="single" w:color="000000" w:sz="4" w:space="0"/>
              <w:right w:val="single" w:color="auto" w:sz="4" w:space="0"/>
            </w:tcBorders>
            <w:shd w:val="clear" w:color="auto" w:fill="auto"/>
            <w:vAlign w:val="center"/>
          </w:tcPr>
          <w:p w14:paraId="1D662B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枯死（濒死）松树名称</w:t>
            </w:r>
          </w:p>
        </w:tc>
        <w:tc>
          <w:tcPr>
            <w:tcW w:w="1105" w:type="dxa"/>
            <w:vMerge w:val="restart"/>
            <w:tcBorders>
              <w:top w:val="nil"/>
              <w:left w:val="single" w:color="auto" w:sz="4" w:space="0"/>
              <w:bottom w:val="single" w:color="000000" w:sz="4" w:space="0"/>
              <w:right w:val="single" w:color="auto" w:sz="4" w:space="0"/>
            </w:tcBorders>
            <w:shd w:val="clear" w:color="auto" w:fill="auto"/>
            <w:vAlign w:val="center"/>
          </w:tcPr>
          <w:p w14:paraId="6DB105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枯死（濒死）松树自编号</w:t>
            </w:r>
          </w:p>
        </w:tc>
        <w:tc>
          <w:tcPr>
            <w:tcW w:w="566" w:type="dxa"/>
            <w:vMerge w:val="restart"/>
            <w:tcBorders>
              <w:top w:val="nil"/>
              <w:left w:val="single" w:color="auto" w:sz="4" w:space="0"/>
              <w:bottom w:val="single" w:color="auto" w:sz="4" w:space="0"/>
              <w:right w:val="single" w:color="auto" w:sz="4" w:space="0"/>
            </w:tcBorders>
            <w:shd w:val="clear" w:color="auto" w:fill="auto"/>
            <w:vAlign w:val="center"/>
          </w:tcPr>
          <w:p w14:paraId="2E71F3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枯死</w:t>
            </w:r>
          </w:p>
          <w:p w14:paraId="4984C6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时间</w:t>
            </w:r>
          </w:p>
        </w:tc>
        <w:tc>
          <w:tcPr>
            <w:tcW w:w="703" w:type="dxa"/>
            <w:vMerge w:val="restart"/>
            <w:tcBorders>
              <w:top w:val="nil"/>
              <w:left w:val="single" w:color="auto" w:sz="4" w:space="0"/>
              <w:bottom w:val="single" w:color="000000" w:sz="4" w:space="0"/>
              <w:right w:val="single" w:color="auto" w:sz="4" w:space="0"/>
            </w:tcBorders>
            <w:shd w:val="clear" w:color="auto" w:fill="auto"/>
            <w:vAlign w:val="center"/>
          </w:tcPr>
          <w:p w14:paraId="6D6F2E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是否取样</w:t>
            </w:r>
          </w:p>
        </w:tc>
        <w:tc>
          <w:tcPr>
            <w:tcW w:w="2184" w:type="dxa"/>
            <w:gridSpan w:val="4"/>
            <w:tcBorders>
              <w:top w:val="single" w:color="auto" w:sz="4" w:space="0"/>
              <w:left w:val="nil"/>
              <w:bottom w:val="single" w:color="auto" w:sz="4" w:space="0"/>
              <w:right w:val="single" w:color="000000" w:sz="4" w:space="0"/>
            </w:tcBorders>
            <w:shd w:val="clear" w:color="auto" w:fill="auto"/>
            <w:vAlign w:val="center"/>
          </w:tcPr>
          <w:p w14:paraId="7E5819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取样部位及样品自编号</w:t>
            </w:r>
          </w:p>
        </w:tc>
        <w:tc>
          <w:tcPr>
            <w:tcW w:w="783" w:type="dxa"/>
            <w:vMerge w:val="restart"/>
            <w:tcBorders>
              <w:top w:val="nil"/>
              <w:left w:val="single" w:color="auto" w:sz="4" w:space="0"/>
              <w:bottom w:val="single" w:color="auto" w:sz="4" w:space="0"/>
              <w:right w:val="single" w:color="auto" w:sz="4" w:space="0"/>
            </w:tcBorders>
            <w:shd w:val="clear" w:color="auto" w:fill="auto"/>
            <w:vAlign w:val="center"/>
          </w:tcPr>
          <w:p w14:paraId="02D216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处置</w:t>
            </w:r>
          </w:p>
          <w:p w14:paraId="577D60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时间</w:t>
            </w:r>
          </w:p>
        </w:tc>
      </w:tr>
      <w:tr w14:paraId="14983E70">
        <w:tblPrEx>
          <w:tblCellMar>
            <w:top w:w="0" w:type="dxa"/>
            <w:left w:w="108" w:type="dxa"/>
            <w:bottom w:w="0" w:type="dxa"/>
            <w:right w:w="108" w:type="dxa"/>
          </w:tblCellMar>
        </w:tblPrEx>
        <w:trPr>
          <w:trHeight w:val="90" w:hRule="atLeast"/>
        </w:trPr>
        <w:tc>
          <w:tcPr>
            <w:tcW w:w="703" w:type="dxa"/>
            <w:vMerge w:val="continue"/>
            <w:tcBorders>
              <w:top w:val="nil"/>
              <w:left w:val="single" w:color="auto" w:sz="4" w:space="0"/>
              <w:bottom w:val="single" w:color="auto" w:sz="4" w:space="0"/>
              <w:right w:val="single" w:color="auto" w:sz="4" w:space="0"/>
            </w:tcBorders>
            <w:vAlign w:val="center"/>
          </w:tcPr>
          <w:p w14:paraId="3268BB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1104" w:type="dxa"/>
            <w:vMerge w:val="continue"/>
            <w:tcBorders>
              <w:top w:val="nil"/>
              <w:left w:val="single" w:color="auto" w:sz="4" w:space="0"/>
              <w:bottom w:val="single" w:color="auto" w:sz="4" w:space="0"/>
              <w:right w:val="single" w:color="auto" w:sz="4" w:space="0"/>
            </w:tcBorders>
            <w:vAlign w:val="center"/>
          </w:tcPr>
          <w:p w14:paraId="6F2A0A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600" w:type="dxa"/>
            <w:tcBorders>
              <w:top w:val="nil"/>
              <w:left w:val="nil"/>
              <w:bottom w:val="single" w:color="auto" w:sz="4" w:space="0"/>
              <w:right w:val="single" w:color="auto" w:sz="4" w:space="0"/>
            </w:tcBorders>
            <w:shd w:val="clear" w:color="auto" w:fill="auto"/>
            <w:vAlign w:val="center"/>
          </w:tcPr>
          <w:p w14:paraId="3B1B13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林班</w:t>
            </w:r>
          </w:p>
        </w:tc>
        <w:tc>
          <w:tcPr>
            <w:tcW w:w="733" w:type="dxa"/>
            <w:tcBorders>
              <w:top w:val="nil"/>
              <w:left w:val="nil"/>
              <w:bottom w:val="single" w:color="auto" w:sz="4" w:space="0"/>
              <w:right w:val="single" w:color="auto" w:sz="4" w:space="0"/>
            </w:tcBorders>
            <w:shd w:val="clear" w:color="auto" w:fill="auto"/>
            <w:vAlign w:val="center"/>
          </w:tcPr>
          <w:p w14:paraId="4BBDDF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小班号</w:t>
            </w:r>
          </w:p>
        </w:tc>
        <w:tc>
          <w:tcPr>
            <w:tcW w:w="800" w:type="dxa"/>
            <w:tcBorders>
              <w:top w:val="nil"/>
              <w:left w:val="nil"/>
              <w:bottom w:val="single" w:color="auto" w:sz="4" w:space="0"/>
              <w:right w:val="single" w:color="auto" w:sz="4" w:space="0"/>
            </w:tcBorders>
            <w:shd w:val="clear" w:color="auto" w:fill="auto"/>
            <w:vAlign w:val="center"/>
          </w:tcPr>
          <w:p w14:paraId="449501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经度</w:t>
            </w:r>
          </w:p>
        </w:tc>
        <w:tc>
          <w:tcPr>
            <w:tcW w:w="717" w:type="dxa"/>
            <w:tcBorders>
              <w:top w:val="nil"/>
              <w:left w:val="nil"/>
              <w:bottom w:val="single" w:color="auto" w:sz="4" w:space="0"/>
              <w:right w:val="single" w:color="auto" w:sz="4" w:space="0"/>
            </w:tcBorders>
            <w:shd w:val="clear" w:color="auto" w:fill="auto"/>
            <w:vAlign w:val="center"/>
          </w:tcPr>
          <w:p w14:paraId="72DEA8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纬度</w:t>
            </w:r>
          </w:p>
        </w:tc>
        <w:tc>
          <w:tcPr>
            <w:tcW w:w="496" w:type="dxa"/>
            <w:tcBorders>
              <w:top w:val="nil"/>
              <w:left w:val="nil"/>
              <w:bottom w:val="single" w:color="auto" w:sz="4" w:space="0"/>
              <w:right w:val="single" w:color="auto" w:sz="4" w:space="0"/>
            </w:tcBorders>
            <w:shd w:val="clear" w:color="auto" w:fill="auto"/>
            <w:vAlign w:val="center"/>
          </w:tcPr>
          <w:p w14:paraId="4F0B69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海拔</w:t>
            </w:r>
          </w:p>
        </w:tc>
        <w:tc>
          <w:tcPr>
            <w:tcW w:w="956" w:type="dxa"/>
            <w:vMerge w:val="continue"/>
            <w:tcBorders>
              <w:top w:val="nil"/>
              <w:left w:val="single" w:color="auto" w:sz="4" w:space="0"/>
              <w:bottom w:val="single" w:color="000000" w:sz="4" w:space="0"/>
              <w:right w:val="single" w:color="auto" w:sz="4" w:space="0"/>
            </w:tcBorders>
            <w:vAlign w:val="center"/>
          </w:tcPr>
          <w:p w14:paraId="5BE20F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1064" w:type="dxa"/>
            <w:vMerge w:val="continue"/>
            <w:tcBorders>
              <w:top w:val="nil"/>
              <w:left w:val="single" w:color="auto" w:sz="4" w:space="0"/>
              <w:bottom w:val="single" w:color="000000" w:sz="4" w:space="0"/>
              <w:right w:val="single" w:color="auto" w:sz="4" w:space="0"/>
            </w:tcBorders>
            <w:vAlign w:val="center"/>
          </w:tcPr>
          <w:p w14:paraId="557DB0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520" w:type="dxa"/>
            <w:vMerge w:val="continue"/>
            <w:tcBorders>
              <w:top w:val="nil"/>
              <w:left w:val="single" w:color="auto" w:sz="4" w:space="0"/>
              <w:bottom w:val="single" w:color="auto" w:sz="4" w:space="0"/>
              <w:right w:val="single" w:color="auto" w:sz="4" w:space="0"/>
            </w:tcBorders>
            <w:vAlign w:val="center"/>
          </w:tcPr>
          <w:p w14:paraId="5564B1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959" w:type="dxa"/>
            <w:vMerge w:val="continue"/>
            <w:tcBorders>
              <w:top w:val="nil"/>
              <w:left w:val="single" w:color="auto" w:sz="4" w:space="0"/>
              <w:bottom w:val="single" w:color="000000" w:sz="4" w:space="0"/>
              <w:right w:val="single" w:color="auto" w:sz="4" w:space="0"/>
            </w:tcBorders>
            <w:vAlign w:val="center"/>
          </w:tcPr>
          <w:p w14:paraId="70035F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1105" w:type="dxa"/>
            <w:vMerge w:val="continue"/>
            <w:tcBorders>
              <w:top w:val="nil"/>
              <w:left w:val="single" w:color="auto" w:sz="4" w:space="0"/>
              <w:bottom w:val="single" w:color="000000" w:sz="4" w:space="0"/>
              <w:right w:val="single" w:color="auto" w:sz="4" w:space="0"/>
            </w:tcBorders>
            <w:vAlign w:val="center"/>
          </w:tcPr>
          <w:p w14:paraId="27AA55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566" w:type="dxa"/>
            <w:vMerge w:val="continue"/>
            <w:tcBorders>
              <w:top w:val="nil"/>
              <w:left w:val="single" w:color="auto" w:sz="4" w:space="0"/>
              <w:bottom w:val="single" w:color="auto" w:sz="4" w:space="0"/>
              <w:right w:val="single" w:color="auto" w:sz="4" w:space="0"/>
            </w:tcBorders>
            <w:vAlign w:val="center"/>
          </w:tcPr>
          <w:p w14:paraId="30269B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703" w:type="dxa"/>
            <w:vMerge w:val="continue"/>
            <w:tcBorders>
              <w:top w:val="nil"/>
              <w:left w:val="single" w:color="auto" w:sz="4" w:space="0"/>
              <w:bottom w:val="single" w:color="000000" w:sz="4" w:space="0"/>
              <w:right w:val="single" w:color="auto" w:sz="4" w:space="0"/>
            </w:tcBorders>
            <w:vAlign w:val="center"/>
          </w:tcPr>
          <w:p w14:paraId="608B44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p>
        </w:tc>
        <w:tc>
          <w:tcPr>
            <w:tcW w:w="729" w:type="dxa"/>
            <w:tcBorders>
              <w:top w:val="nil"/>
              <w:left w:val="nil"/>
              <w:bottom w:val="single" w:color="auto" w:sz="4" w:space="0"/>
              <w:right w:val="single" w:color="auto" w:sz="4" w:space="0"/>
            </w:tcBorders>
            <w:shd w:val="clear" w:color="auto" w:fill="auto"/>
            <w:vAlign w:val="center"/>
          </w:tcPr>
          <w:p w14:paraId="10267D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上</w:t>
            </w:r>
          </w:p>
        </w:tc>
        <w:tc>
          <w:tcPr>
            <w:tcW w:w="723" w:type="dxa"/>
            <w:gridSpan w:val="2"/>
            <w:tcBorders>
              <w:top w:val="nil"/>
              <w:left w:val="nil"/>
              <w:bottom w:val="single" w:color="auto" w:sz="4" w:space="0"/>
              <w:right w:val="single" w:color="auto" w:sz="4" w:space="0"/>
            </w:tcBorders>
            <w:shd w:val="clear" w:color="auto" w:fill="auto"/>
            <w:vAlign w:val="center"/>
          </w:tcPr>
          <w:p w14:paraId="4B3E0B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中</w:t>
            </w:r>
          </w:p>
        </w:tc>
        <w:tc>
          <w:tcPr>
            <w:tcW w:w="732" w:type="dxa"/>
            <w:tcBorders>
              <w:top w:val="nil"/>
              <w:left w:val="nil"/>
              <w:bottom w:val="single" w:color="auto" w:sz="4" w:space="0"/>
              <w:right w:val="single" w:color="auto" w:sz="4" w:space="0"/>
            </w:tcBorders>
            <w:shd w:val="clear" w:color="auto" w:fill="auto"/>
            <w:vAlign w:val="center"/>
          </w:tcPr>
          <w:p w14:paraId="6B8F74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下</w:t>
            </w:r>
          </w:p>
        </w:tc>
        <w:tc>
          <w:tcPr>
            <w:tcW w:w="783" w:type="dxa"/>
            <w:vMerge w:val="continue"/>
            <w:tcBorders>
              <w:top w:val="nil"/>
              <w:left w:val="single" w:color="auto" w:sz="4" w:space="0"/>
              <w:bottom w:val="single" w:color="auto" w:sz="4" w:space="0"/>
              <w:right w:val="single" w:color="auto" w:sz="4" w:space="0"/>
            </w:tcBorders>
            <w:vAlign w:val="center"/>
          </w:tcPr>
          <w:p w14:paraId="6EEE9A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p>
        </w:tc>
      </w:tr>
      <w:tr w14:paraId="022F6EE3">
        <w:tblPrEx>
          <w:tblCellMar>
            <w:top w:w="0" w:type="dxa"/>
            <w:left w:w="108" w:type="dxa"/>
            <w:bottom w:w="0" w:type="dxa"/>
            <w:right w:w="108" w:type="dxa"/>
          </w:tblCellMar>
        </w:tblPrEx>
        <w:trPr>
          <w:trHeight w:val="680" w:hRule="exact"/>
        </w:trPr>
        <w:tc>
          <w:tcPr>
            <w:tcW w:w="703" w:type="dxa"/>
            <w:tcBorders>
              <w:top w:val="nil"/>
              <w:left w:val="single" w:color="auto" w:sz="4" w:space="0"/>
              <w:bottom w:val="single" w:color="auto" w:sz="4" w:space="0"/>
              <w:right w:val="single" w:color="auto" w:sz="4" w:space="0"/>
            </w:tcBorders>
            <w:shd w:val="clear" w:color="auto" w:fill="auto"/>
            <w:vAlign w:val="center"/>
          </w:tcPr>
          <w:p w14:paraId="13191A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4" w:type="dxa"/>
            <w:tcBorders>
              <w:top w:val="nil"/>
              <w:left w:val="nil"/>
              <w:bottom w:val="single" w:color="auto" w:sz="4" w:space="0"/>
              <w:right w:val="single" w:color="auto" w:sz="4" w:space="0"/>
            </w:tcBorders>
            <w:shd w:val="clear" w:color="auto" w:fill="auto"/>
            <w:vAlign w:val="center"/>
          </w:tcPr>
          <w:p w14:paraId="11F515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600" w:type="dxa"/>
            <w:tcBorders>
              <w:top w:val="nil"/>
              <w:left w:val="nil"/>
              <w:bottom w:val="single" w:color="auto" w:sz="4" w:space="0"/>
              <w:right w:val="nil"/>
            </w:tcBorders>
            <w:shd w:val="clear" w:color="auto" w:fill="auto"/>
            <w:vAlign w:val="center"/>
          </w:tcPr>
          <w:p w14:paraId="71FF40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33" w:type="dxa"/>
            <w:tcBorders>
              <w:top w:val="nil"/>
              <w:left w:val="single" w:color="auto" w:sz="4" w:space="0"/>
              <w:bottom w:val="single" w:color="auto" w:sz="4" w:space="0"/>
              <w:right w:val="single" w:color="auto" w:sz="4" w:space="0"/>
            </w:tcBorders>
            <w:shd w:val="clear" w:color="auto" w:fill="auto"/>
            <w:vAlign w:val="center"/>
          </w:tcPr>
          <w:p w14:paraId="1BB54A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800" w:type="dxa"/>
            <w:tcBorders>
              <w:top w:val="nil"/>
              <w:left w:val="nil"/>
              <w:bottom w:val="single" w:color="auto" w:sz="4" w:space="0"/>
              <w:right w:val="single" w:color="auto" w:sz="4" w:space="0"/>
            </w:tcBorders>
            <w:shd w:val="clear" w:color="auto" w:fill="auto"/>
            <w:vAlign w:val="center"/>
          </w:tcPr>
          <w:p w14:paraId="45F453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17" w:type="dxa"/>
            <w:tcBorders>
              <w:top w:val="nil"/>
              <w:left w:val="nil"/>
              <w:bottom w:val="single" w:color="auto" w:sz="4" w:space="0"/>
              <w:right w:val="single" w:color="auto" w:sz="4" w:space="0"/>
            </w:tcBorders>
            <w:shd w:val="clear" w:color="auto" w:fill="auto"/>
            <w:vAlign w:val="center"/>
          </w:tcPr>
          <w:p w14:paraId="01CDBE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496" w:type="dxa"/>
            <w:tcBorders>
              <w:top w:val="nil"/>
              <w:left w:val="nil"/>
              <w:bottom w:val="single" w:color="auto" w:sz="4" w:space="0"/>
              <w:right w:val="single" w:color="auto" w:sz="4" w:space="0"/>
            </w:tcBorders>
            <w:shd w:val="clear" w:color="auto" w:fill="auto"/>
            <w:vAlign w:val="center"/>
          </w:tcPr>
          <w:p w14:paraId="408C09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956" w:type="dxa"/>
            <w:tcBorders>
              <w:top w:val="nil"/>
              <w:left w:val="nil"/>
              <w:bottom w:val="single" w:color="auto" w:sz="4" w:space="0"/>
              <w:right w:val="single" w:color="auto" w:sz="4" w:space="0"/>
            </w:tcBorders>
            <w:shd w:val="clear" w:color="auto" w:fill="auto"/>
            <w:vAlign w:val="center"/>
          </w:tcPr>
          <w:p w14:paraId="5E6F90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1064" w:type="dxa"/>
            <w:tcBorders>
              <w:top w:val="nil"/>
              <w:left w:val="nil"/>
              <w:bottom w:val="single" w:color="auto" w:sz="4" w:space="0"/>
              <w:right w:val="single" w:color="auto" w:sz="4" w:space="0"/>
            </w:tcBorders>
            <w:shd w:val="clear" w:color="auto" w:fill="auto"/>
            <w:vAlign w:val="center"/>
          </w:tcPr>
          <w:p w14:paraId="6386CE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520" w:type="dxa"/>
            <w:tcBorders>
              <w:top w:val="nil"/>
              <w:left w:val="nil"/>
              <w:bottom w:val="single" w:color="auto" w:sz="4" w:space="0"/>
              <w:right w:val="single" w:color="auto" w:sz="4" w:space="0"/>
            </w:tcBorders>
            <w:shd w:val="clear" w:color="auto" w:fill="auto"/>
            <w:vAlign w:val="center"/>
          </w:tcPr>
          <w:p w14:paraId="5D054D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959" w:type="dxa"/>
            <w:tcBorders>
              <w:top w:val="nil"/>
              <w:left w:val="nil"/>
              <w:bottom w:val="single" w:color="auto" w:sz="4" w:space="0"/>
              <w:right w:val="single" w:color="auto" w:sz="4" w:space="0"/>
            </w:tcBorders>
            <w:shd w:val="clear" w:color="auto" w:fill="auto"/>
            <w:vAlign w:val="center"/>
          </w:tcPr>
          <w:p w14:paraId="089C92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5" w:type="dxa"/>
            <w:tcBorders>
              <w:top w:val="nil"/>
              <w:left w:val="nil"/>
              <w:bottom w:val="single" w:color="auto" w:sz="4" w:space="0"/>
              <w:right w:val="single" w:color="auto" w:sz="4" w:space="0"/>
            </w:tcBorders>
            <w:shd w:val="clear" w:color="auto" w:fill="auto"/>
            <w:vAlign w:val="center"/>
          </w:tcPr>
          <w:p w14:paraId="646874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566" w:type="dxa"/>
            <w:tcBorders>
              <w:top w:val="nil"/>
              <w:left w:val="nil"/>
              <w:bottom w:val="single" w:color="auto" w:sz="4" w:space="0"/>
              <w:right w:val="single" w:color="auto" w:sz="4" w:space="0"/>
            </w:tcBorders>
            <w:shd w:val="clear" w:color="auto" w:fill="auto"/>
            <w:vAlign w:val="center"/>
          </w:tcPr>
          <w:p w14:paraId="0CC395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03" w:type="dxa"/>
            <w:tcBorders>
              <w:top w:val="nil"/>
              <w:left w:val="nil"/>
              <w:bottom w:val="single" w:color="auto" w:sz="4" w:space="0"/>
              <w:right w:val="single" w:color="auto" w:sz="4" w:space="0"/>
            </w:tcBorders>
            <w:shd w:val="clear" w:color="auto" w:fill="auto"/>
            <w:vAlign w:val="center"/>
          </w:tcPr>
          <w:p w14:paraId="0FB24D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9" w:type="dxa"/>
            <w:tcBorders>
              <w:top w:val="nil"/>
              <w:left w:val="nil"/>
              <w:bottom w:val="single" w:color="auto" w:sz="4" w:space="0"/>
              <w:right w:val="single" w:color="auto" w:sz="4" w:space="0"/>
            </w:tcBorders>
            <w:shd w:val="clear" w:color="auto" w:fill="auto"/>
            <w:vAlign w:val="center"/>
          </w:tcPr>
          <w:p w14:paraId="3AFC54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3" w:type="dxa"/>
            <w:gridSpan w:val="2"/>
            <w:tcBorders>
              <w:top w:val="nil"/>
              <w:left w:val="nil"/>
              <w:bottom w:val="single" w:color="auto" w:sz="4" w:space="0"/>
              <w:right w:val="single" w:color="auto" w:sz="4" w:space="0"/>
            </w:tcBorders>
            <w:shd w:val="clear" w:color="auto" w:fill="auto"/>
            <w:vAlign w:val="center"/>
          </w:tcPr>
          <w:p w14:paraId="3CAE60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32" w:type="dxa"/>
            <w:tcBorders>
              <w:top w:val="nil"/>
              <w:left w:val="nil"/>
              <w:bottom w:val="single" w:color="auto" w:sz="4" w:space="0"/>
              <w:right w:val="single" w:color="auto" w:sz="4" w:space="0"/>
            </w:tcBorders>
            <w:shd w:val="clear" w:color="auto" w:fill="auto"/>
            <w:vAlign w:val="center"/>
          </w:tcPr>
          <w:p w14:paraId="6A65AC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83" w:type="dxa"/>
            <w:tcBorders>
              <w:top w:val="nil"/>
              <w:left w:val="nil"/>
              <w:bottom w:val="single" w:color="auto" w:sz="4" w:space="0"/>
              <w:right w:val="single" w:color="auto" w:sz="4" w:space="0"/>
            </w:tcBorders>
            <w:shd w:val="clear" w:color="auto" w:fill="auto"/>
            <w:vAlign w:val="center"/>
          </w:tcPr>
          <w:p w14:paraId="301C8F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r>
      <w:tr w14:paraId="728DD2D9">
        <w:tblPrEx>
          <w:tblCellMar>
            <w:top w:w="0" w:type="dxa"/>
            <w:left w:w="108" w:type="dxa"/>
            <w:bottom w:w="0" w:type="dxa"/>
            <w:right w:w="108" w:type="dxa"/>
          </w:tblCellMar>
        </w:tblPrEx>
        <w:trPr>
          <w:trHeight w:val="680" w:hRule="exact"/>
        </w:trPr>
        <w:tc>
          <w:tcPr>
            <w:tcW w:w="703" w:type="dxa"/>
            <w:tcBorders>
              <w:top w:val="nil"/>
              <w:left w:val="single" w:color="auto" w:sz="4" w:space="0"/>
              <w:bottom w:val="single" w:color="auto" w:sz="4" w:space="0"/>
              <w:right w:val="single" w:color="auto" w:sz="4" w:space="0"/>
            </w:tcBorders>
            <w:shd w:val="clear" w:color="auto" w:fill="auto"/>
            <w:vAlign w:val="center"/>
          </w:tcPr>
          <w:p w14:paraId="18746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4" w:type="dxa"/>
            <w:tcBorders>
              <w:top w:val="nil"/>
              <w:left w:val="nil"/>
              <w:bottom w:val="single" w:color="auto" w:sz="4" w:space="0"/>
              <w:right w:val="single" w:color="auto" w:sz="4" w:space="0"/>
            </w:tcBorders>
            <w:shd w:val="clear" w:color="auto" w:fill="auto"/>
            <w:vAlign w:val="center"/>
          </w:tcPr>
          <w:p w14:paraId="0E7BC3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600" w:type="dxa"/>
            <w:tcBorders>
              <w:top w:val="nil"/>
              <w:left w:val="nil"/>
              <w:bottom w:val="single" w:color="auto" w:sz="4" w:space="0"/>
              <w:right w:val="single" w:color="auto" w:sz="4" w:space="0"/>
            </w:tcBorders>
            <w:shd w:val="clear" w:color="auto" w:fill="auto"/>
            <w:vAlign w:val="center"/>
          </w:tcPr>
          <w:p w14:paraId="3FC7A0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33" w:type="dxa"/>
            <w:tcBorders>
              <w:top w:val="nil"/>
              <w:left w:val="nil"/>
              <w:bottom w:val="single" w:color="auto" w:sz="4" w:space="0"/>
              <w:right w:val="single" w:color="auto" w:sz="4" w:space="0"/>
            </w:tcBorders>
            <w:shd w:val="clear" w:color="auto" w:fill="auto"/>
            <w:vAlign w:val="center"/>
          </w:tcPr>
          <w:p w14:paraId="24580E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800" w:type="dxa"/>
            <w:tcBorders>
              <w:top w:val="nil"/>
              <w:left w:val="nil"/>
              <w:bottom w:val="single" w:color="auto" w:sz="4" w:space="0"/>
              <w:right w:val="single" w:color="auto" w:sz="4" w:space="0"/>
            </w:tcBorders>
            <w:shd w:val="clear" w:color="auto" w:fill="auto"/>
            <w:vAlign w:val="center"/>
          </w:tcPr>
          <w:p w14:paraId="3F6B4D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17" w:type="dxa"/>
            <w:tcBorders>
              <w:top w:val="nil"/>
              <w:left w:val="nil"/>
              <w:bottom w:val="single" w:color="auto" w:sz="4" w:space="0"/>
              <w:right w:val="single" w:color="auto" w:sz="4" w:space="0"/>
            </w:tcBorders>
            <w:shd w:val="clear" w:color="auto" w:fill="auto"/>
            <w:vAlign w:val="center"/>
          </w:tcPr>
          <w:p w14:paraId="1F3276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496" w:type="dxa"/>
            <w:tcBorders>
              <w:top w:val="nil"/>
              <w:left w:val="nil"/>
              <w:bottom w:val="single" w:color="auto" w:sz="4" w:space="0"/>
              <w:right w:val="single" w:color="auto" w:sz="4" w:space="0"/>
            </w:tcBorders>
            <w:shd w:val="clear" w:color="auto" w:fill="auto"/>
            <w:vAlign w:val="center"/>
          </w:tcPr>
          <w:p w14:paraId="144D57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956" w:type="dxa"/>
            <w:tcBorders>
              <w:top w:val="nil"/>
              <w:left w:val="nil"/>
              <w:bottom w:val="single" w:color="auto" w:sz="4" w:space="0"/>
              <w:right w:val="single" w:color="auto" w:sz="4" w:space="0"/>
            </w:tcBorders>
            <w:shd w:val="clear" w:color="auto" w:fill="auto"/>
            <w:vAlign w:val="center"/>
          </w:tcPr>
          <w:p w14:paraId="06CB45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1064" w:type="dxa"/>
            <w:tcBorders>
              <w:top w:val="nil"/>
              <w:left w:val="nil"/>
              <w:bottom w:val="single" w:color="auto" w:sz="4" w:space="0"/>
              <w:right w:val="single" w:color="auto" w:sz="4" w:space="0"/>
            </w:tcBorders>
            <w:shd w:val="clear" w:color="auto" w:fill="auto"/>
            <w:vAlign w:val="center"/>
          </w:tcPr>
          <w:p w14:paraId="1639D2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520" w:type="dxa"/>
            <w:tcBorders>
              <w:top w:val="nil"/>
              <w:left w:val="nil"/>
              <w:bottom w:val="single" w:color="auto" w:sz="4" w:space="0"/>
              <w:right w:val="single" w:color="auto" w:sz="4" w:space="0"/>
            </w:tcBorders>
            <w:shd w:val="clear" w:color="auto" w:fill="auto"/>
            <w:vAlign w:val="center"/>
          </w:tcPr>
          <w:p w14:paraId="3ED580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959" w:type="dxa"/>
            <w:tcBorders>
              <w:top w:val="nil"/>
              <w:left w:val="nil"/>
              <w:bottom w:val="single" w:color="auto" w:sz="4" w:space="0"/>
              <w:right w:val="single" w:color="auto" w:sz="4" w:space="0"/>
            </w:tcBorders>
            <w:shd w:val="clear" w:color="auto" w:fill="auto"/>
            <w:vAlign w:val="center"/>
          </w:tcPr>
          <w:p w14:paraId="7F519D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5" w:type="dxa"/>
            <w:tcBorders>
              <w:top w:val="nil"/>
              <w:left w:val="nil"/>
              <w:bottom w:val="single" w:color="auto" w:sz="4" w:space="0"/>
              <w:right w:val="single" w:color="auto" w:sz="4" w:space="0"/>
            </w:tcBorders>
            <w:shd w:val="clear" w:color="auto" w:fill="auto"/>
            <w:vAlign w:val="center"/>
          </w:tcPr>
          <w:p w14:paraId="053065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566" w:type="dxa"/>
            <w:tcBorders>
              <w:top w:val="nil"/>
              <w:left w:val="nil"/>
              <w:bottom w:val="single" w:color="auto" w:sz="4" w:space="0"/>
              <w:right w:val="single" w:color="auto" w:sz="4" w:space="0"/>
            </w:tcBorders>
            <w:shd w:val="clear" w:color="auto" w:fill="auto"/>
            <w:vAlign w:val="center"/>
          </w:tcPr>
          <w:p w14:paraId="694AFA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03" w:type="dxa"/>
            <w:tcBorders>
              <w:top w:val="nil"/>
              <w:left w:val="nil"/>
              <w:bottom w:val="single" w:color="auto" w:sz="4" w:space="0"/>
              <w:right w:val="single" w:color="auto" w:sz="4" w:space="0"/>
            </w:tcBorders>
            <w:shd w:val="clear" w:color="auto" w:fill="auto"/>
            <w:vAlign w:val="center"/>
          </w:tcPr>
          <w:p w14:paraId="107BA9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9" w:type="dxa"/>
            <w:tcBorders>
              <w:top w:val="nil"/>
              <w:left w:val="nil"/>
              <w:bottom w:val="single" w:color="auto" w:sz="4" w:space="0"/>
              <w:right w:val="single" w:color="auto" w:sz="4" w:space="0"/>
            </w:tcBorders>
            <w:shd w:val="clear" w:color="auto" w:fill="auto"/>
            <w:vAlign w:val="center"/>
          </w:tcPr>
          <w:p w14:paraId="6B0E2C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3" w:type="dxa"/>
            <w:gridSpan w:val="2"/>
            <w:tcBorders>
              <w:top w:val="nil"/>
              <w:left w:val="nil"/>
              <w:bottom w:val="single" w:color="auto" w:sz="4" w:space="0"/>
              <w:right w:val="single" w:color="auto" w:sz="4" w:space="0"/>
            </w:tcBorders>
            <w:shd w:val="clear" w:color="auto" w:fill="auto"/>
            <w:vAlign w:val="center"/>
          </w:tcPr>
          <w:p w14:paraId="4AB0E3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32" w:type="dxa"/>
            <w:tcBorders>
              <w:top w:val="nil"/>
              <w:left w:val="nil"/>
              <w:bottom w:val="single" w:color="auto" w:sz="4" w:space="0"/>
              <w:right w:val="single" w:color="auto" w:sz="4" w:space="0"/>
            </w:tcBorders>
            <w:shd w:val="clear" w:color="auto" w:fill="auto"/>
            <w:vAlign w:val="center"/>
          </w:tcPr>
          <w:p w14:paraId="2946FC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83" w:type="dxa"/>
            <w:tcBorders>
              <w:top w:val="nil"/>
              <w:left w:val="nil"/>
              <w:bottom w:val="single" w:color="auto" w:sz="4" w:space="0"/>
              <w:right w:val="single" w:color="auto" w:sz="4" w:space="0"/>
            </w:tcBorders>
            <w:shd w:val="clear" w:color="auto" w:fill="auto"/>
            <w:vAlign w:val="center"/>
          </w:tcPr>
          <w:p w14:paraId="7D8DEE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r>
      <w:tr w14:paraId="784ED4EC">
        <w:tblPrEx>
          <w:tblCellMar>
            <w:top w:w="0" w:type="dxa"/>
            <w:left w:w="108" w:type="dxa"/>
            <w:bottom w:w="0" w:type="dxa"/>
            <w:right w:w="108" w:type="dxa"/>
          </w:tblCellMar>
        </w:tblPrEx>
        <w:trPr>
          <w:trHeight w:val="680" w:hRule="exact"/>
        </w:trPr>
        <w:tc>
          <w:tcPr>
            <w:tcW w:w="703" w:type="dxa"/>
            <w:tcBorders>
              <w:top w:val="nil"/>
              <w:left w:val="single" w:color="auto" w:sz="4" w:space="0"/>
              <w:bottom w:val="single" w:color="auto" w:sz="4" w:space="0"/>
              <w:right w:val="single" w:color="auto" w:sz="4" w:space="0"/>
            </w:tcBorders>
            <w:shd w:val="clear" w:color="auto" w:fill="auto"/>
            <w:vAlign w:val="center"/>
          </w:tcPr>
          <w:p w14:paraId="311F5B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4" w:type="dxa"/>
            <w:tcBorders>
              <w:top w:val="nil"/>
              <w:left w:val="nil"/>
              <w:bottom w:val="single" w:color="auto" w:sz="4" w:space="0"/>
              <w:right w:val="single" w:color="auto" w:sz="4" w:space="0"/>
            </w:tcBorders>
            <w:shd w:val="clear" w:color="auto" w:fill="auto"/>
            <w:vAlign w:val="center"/>
          </w:tcPr>
          <w:p w14:paraId="46FD51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600" w:type="dxa"/>
            <w:tcBorders>
              <w:top w:val="nil"/>
              <w:left w:val="nil"/>
              <w:bottom w:val="single" w:color="auto" w:sz="4" w:space="0"/>
              <w:right w:val="single" w:color="auto" w:sz="4" w:space="0"/>
            </w:tcBorders>
            <w:shd w:val="clear" w:color="auto" w:fill="auto"/>
            <w:vAlign w:val="center"/>
          </w:tcPr>
          <w:p w14:paraId="0DCBD9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33" w:type="dxa"/>
            <w:tcBorders>
              <w:top w:val="nil"/>
              <w:left w:val="nil"/>
              <w:bottom w:val="single" w:color="auto" w:sz="4" w:space="0"/>
              <w:right w:val="single" w:color="auto" w:sz="4" w:space="0"/>
            </w:tcBorders>
            <w:shd w:val="clear" w:color="auto" w:fill="auto"/>
            <w:vAlign w:val="center"/>
          </w:tcPr>
          <w:p w14:paraId="0DB6E8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800" w:type="dxa"/>
            <w:tcBorders>
              <w:top w:val="nil"/>
              <w:left w:val="nil"/>
              <w:bottom w:val="single" w:color="auto" w:sz="4" w:space="0"/>
              <w:right w:val="single" w:color="auto" w:sz="4" w:space="0"/>
            </w:tcBorders>
            <w:shd w:val="clear" w:color="auto" w:fill="auto"/>
            <w:vAlign w:val="center"/>
          </w:tcPr>
          <w:p w14:paraId="4A854E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17" w:type="dxa"/>
            <w:tcBorders>
              <w:top w:val="nil"/>
              <w:left w:val="nil"/>
              <w:bottom w:val="single" w:color="auto" w:sz="4" w:space="0"/>
              <w:right w:val="single" w:color="auto" w:sz="4" w:space="0"/>
            </w:tcBorders>
            <w:shd w:val="clear" w:color="auto" w:fill="auto"/>
            <w:vAlign w:val="center"/>
          </w:tcPr>
          <w:p w14:paraId="718CD3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496" w:type="dxa"/>
            <w:tcBorders>
              <w:top w:val="nil"/>
              <w:left w:val="nil"/>
              <w:bottom w:val="single" w:color="auto" w:sz="4" w:space="0"/>
              <w:right w:val="single" w:color="auto" w:sz="4" w:space="0"/>
            </w:tcBorders>
            <w:shd w:val="clear" w:color="auto" w:fill="auto"/>
            <w:vAlign w:val="center"/>
          </w:tcPr>
          <w:p w14:paraId="5A7DBF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956" w:type="dxa"/>
            <w:tcBorders>
              <w:top w:val="nil"/>
              <w:left w:val="nil"/>
              <w:bottom w:val="single" w:color="auto" w:sz="4" w:space="0"/>
              <w:right w:val="single" w:color="auto" w:sz="4" w:space="0"/>
            </w:tcBorders>
            <w:shd w:val="clear" w:color="auto" w:fill="auto"/>
            <w:vAlign w:val="center"/>
          </w:tcPr>
          <w:p w14:paraId="7630F0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1064" w:type="dxa"/>
            <w:tcBorders>
              <w:top w:val="nil"/>
              <w:left w:val="nil"/>
              <w:bottom w:val="single" w:color="auto" w:sz="4" w:space="0"/>
              <w:right w:val="single" w:color="auto" w:sz="4" w:space="0"/>
            </w:tcBorders>
            <w:shd w:val="clear" w:color="auto" w:fill="auto"/>
            <w:vAlign w:val="center"/>
          </w:tcPr>
          <w:p w14:paraId="19A0F5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520" w:type="dxa"/>
            <w:tcBorders>
              <w:top w:val="nil"/>
              <w:left w:val="nil"/>
              <w:bottom w:val="single" w:color="auto" w:sz="4" w:space="0"/>
              <w:right w:val="single" w:color="auto" w:sz="4" w:space="0"/>
            </w:tcBorders>
            <w:shd w:val="clear" w:color="auto" w:fill="auto"/>
            <w:vAlign w:val="center"/>
          </w:tcPr>
          <w:p w14:paraId="4474FE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959" w:type="dxa"/>
            <w:tcBorders>
              <w:top w:val="nil"/>
              <w:left w:val="nil"/>
              <w:bottom w:val="single" w:color="auto" w:sz="4" w:space="0"/>
              <w:right w:val="single" w:color="auto" w:sz="4" w:space="0"/>
            </w:tcBorders>
            <w:shd w:val="clear" w:color="auto" w:fill="auto"/>
            <w:vAlign w:val="center"/>
          </w:tcPr>
          <w:p w14:paraId="61DEF8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5" w:type="dxa"/>
            <w:tcBorders>
              <w:top w:val="nil"/>
              <w:left w:val="nil"/>
              <w:bottom w:val="single" w:color="auto" w:sz="4" w:space="0"/>
              <w:right w:val="single" w:color="auto" w:sz="4" w:space="0"/>
            </w:tcBorders>
            <w:shd w:val="clear" w:color="auto" w:fill="auto"/>
            <w:vAlign w:val="center"/>
          </w:tcPr>
          <w:p w14:paraId="02F60F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566" w:type="dxa"/>
            <w:tcBorders>
              <w:top w:val="nil"/>
              <w:left w:val="nil"/>
              <w:bottom w:val="single" w:color="auto" w:sz="4" w:space="0"/>
              <w:right w:val="single" w:color="auto" w:sz="4" w:space="0"/>
            </w:tcBorders>
            <w:shd w:val="clear" w:color="auto" w:fill="auto"/>
            <w:vAlign w:val="center"/>
          </w:tcPr>
          <w:p w14:paraId="5EF9C8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03" w:type="dxa"/>
            <w:tcBorders>
              <w:top w:val="nil"/>
              <w:left w:val="nil"/>
              <w:bottom w:val="single" w:color="auto" w:sz="4" w:space="0"/>
              <w:right w:val="single" w:color="auto" w:sz="4" w:space="0"/>
            </w:tcBorders>
            <w:shd w:val="clear" w:color="auto" w:fill="auto"/>
            <w:vAlign w:val="center"/>
          </w:tcPr>
          <w:p w14:paraId="11AE6C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9" w:type="dxa"/>
            <w:tcBorders>
              <w:top w:val="nil"/>
              <w:left w:val="nil"/>
              <w:bottom w:val="single" w:color="auto" w:sz="4" w:space="0"/>
              <w:right w:val="single" w:color="auto" w:sz="4" w:space="0"/>
            </w:tcBorders>
            <w:shd w:val="clear" w:color="auto" w:fill="auto"/>
            <w:vAlign w:val="center"/>
          </w:tcPr>
          <w:p w14:paraId="1FE4DC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3" w:type="dxa"/>
            <w:gridSpan w:val="2"/>
            <w:tcBorders>
              <w:top w:val="nil"/>
              <w:left w:val="nil"/>
              <w:bottom w:val="single" w:color="auto" w:sz="4" w:space="0"/>
              <w:right w:val="single" w:color="auto" w:sz="4" w:space="0"/>
            </w:tcBorders>
            <w:shd w:val="clear" w:color="auto" w:fill="auto"/>
            <w:vAlign w:val="center"/>
          </w:tcPr>
          <w:p w14:paraId="407401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32" w:type="dxa"/>
            <w:tcBorders>
              <w:top w:val="nil"/>
              <w:left w:val="nil"/>
              <w:bottom w:val="single" w:color="auto" w:sz="4" w:space="0"/>
              <w:right w:val="single" w:color="auto" w:sz="4" w:space="0"/>
            </w:tcBorders>
            <w:shd w:val="clear" w:color="auto" w:fill="auto"/>
            <w:vAlign w:val="center"/>
          </w:tcPr>
          <w:p w14:paraId="3C356D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83" w:type="dxa"/>
            <w:tcBorders>
              <w:top w:val="nil"/>
              <w:left w:val="nil"/>
              <w:bottom w:val="single" w:color="auto" w:sz="4" w:space="0"/>
              <w:right w:val="single" w:color="auto" w:sz="4" w:space="0"/>
            </w:tcBorders>
            <w:shd w:val="clear" w:color="auto" w:fill="auto"/>
            <w:vAlign w:val="center"/>
          </w:tcPr>
          <w:p w14:paraId="014CE9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r>
      <w:tr w14:paraId="54C4B0AF">
        <w:tblPrEx>
          <w:tblCellMar>
            <w:top w:w="0" w:type="dxa"/>
            <w:left w:w="108" w:type="dxa"/>
            <w:bottom w:w="0" w:type="dxa"/>
            <w:right w:w="108" w:type="dxa"/>
          </w:tblCellMar>
        </w:tblPrEx>
        <w:trPr>
          <w:trHeight w:val="744" w:hRule="exact"/>
        </w:trPr>
        <w:tc>
          <w:tcPr>
            <w:tcW w:w="703" w:type="dxa"/>
            <w:tcBorders>
              <w:top w:val="nil"/>
              <w:left w:val="single" w:color="auto" w:sz="4" w:space="0"/>
              <w:bottom w:val="single" w:color="auto" w:sz="4" w:space="0"/>
              <w:right w:val="single" w:color="auto" w:sz="4" w:space="0"/>
            </w:tcBorders>
            <w:shd w:val="clear" w:color="auto" w:fill="auto"/>
            <w:vAlign w:val="center"/>
          </w:tcPr>
          <w:p w14:paraId="6B2E9C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4" w:type="dxa"/>
            <w:tcBorders>
              <w:top w:val="nil"/>
              <w:left w:val="nil"/>
              <w:bottom w:val="single" w:color="auto" w:sz="4" w:space="0"/>
              <w:right w:val="single" w:color="auto" w:sz="4" w:space="0"/>
            </w:tcBorders>
            <w:shd w:val="clear" w:color="auto" w:fill="auto"/>
            <w:vAlign w:val="center"/>
          </w:tcPr>
          <w:p w14:paraId="596A4F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600" w:type="dxa"/>
            <w:tcBorders>
              <w:top w:val="nil"/>
              <w:left w:val="nil"/>
              <w:bottom w:val="single" w:color="auto" w:sz="4" w:space="0"/>
              <w:right w:val="single" w:color="auto" w:sz="4" w:space="0"/>
            </w:tcBorders>
            <w:shd w:val="clear" w:color="auto" w:fill="auto"/>
            <w:vAlign w:val="center"/>
          </w:tcPr>
          <w:p w14:paraId="7B7A8B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33" w:type="dxa"/>
            <w:tcBorders>
              <w:top w:val="nil"/>
              <w:left w:val="nil"/>
              <w:bottom w:val="single" w:color="auto" w:sz="4" w:space="0"/>
              <w:right w:val="single" w:color="auto" w:sz="4" w:space="0"/>
            </w:tcBorders>
            <w:shd w:val="clear" w:color="auto" w:fill="auto"/>
            <w:vAlign w:val="center"/>
          </w:tcPr>
          <w:p w14:paraId="72122E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800" w:type="dxa"/>
            <w:tcBorders>
              <w:top w:val="nil"/>
              <w:left w:val="nil"/>
              <w:bottom w:val="single" w:color="auto" w:sz="4" w:space="0"/>
              <w:right w:val="single" w:color="auto" w:sz="4" w:space="0"/>
            </w:tcBorders>
            <w:shd w:val="clear" w:color="auto" w:fill="auto"/>
            <w:vAlign w:val="center"/>
          </w:tcPr>
          <w:p w14:paraId="0A84A5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17" w:type="dxa"/>
            <w:tcBorders>
              <w:top w:val="nil"/>
              <w:left w:val="nil"/>
              <w:bottom w:val="single" w:color="auto" w:sz="4" w:space="0"/>
              <w:right w:val="single" w:color="auto" w:sz="4" w:space="0"/>
            </w:tcBorders>
            <w:shd w:val="clear" w:color="auto" w:fill="auto"/>
            <w:vAlign w:val="center"/>
          </w:tcPr>
          <w:p w14:paraId="0D9E67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496" w:type="dxa"/>
            <w:tcBorders>
              <w:top w:val="nil"/>
              <w:left w:val="nil"/>
              <w:bottom w:val="single" w:color="auto" w:sz="4" w:space="0"/>
              <w:right w:val="single" w:color="auto" w:sz="4" w:space="0"/>
            </w:tcBorders>
            <w:shd w:val="clear" w:color="auto" w:fill="auto"/>
            <w:vAlign w:val="center"/>
          </w:tcPr>
          <w:p w14:paraId="69C1C2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956" w:type="dxa"/>
            <w:tcBorders>
              <w:top w:val="nil"/>
              <w:left w:val="nil"/>
              <w:bottom w:val="single" w:color="auto" w:sz="4" w:space="0"/>
              <w:right w:val="single" w:color="auto" w:sz="4" w:space="0"/>
            </w:tcBorders>
            <w:shd w:val="clear" w:color="auto" w:fill="auto"/>
            <w:vAlign w:val="center"/>
          </w:tcPr>
          <w:p w14:paraId="75C2D8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1064" w:type="dxa"/>
            <w:tcBorders>
              <w:top w:val="nil"/>
              <w:left w:val="nil"/>
              <w:bottom w:val="single" w:color="auto" w:sz="4" w:space="0"/>
              <w:right w:val="single" w:color="auto" w:sz="4" w:space="0"/>
            </w:tcBorders>
            <w:shd w:val="clear" w:color="auto" w:fill="auto"/>
            <w:vAlign w:val="center"/>
          </w:tcPr>
          <w:p w14:paraId="2E1C89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520" w:type="dxa"/>
            <w:tcBorders>
              <w:top w:val="nil"/>
              <w:left w:val="nil"/>
              <w:bottom w:val="single" w:color="auto" w:sz="4" w:space="0"/>
              <w:right w:val="single" w:color="auto" w:sz="4" w:space="0"/>
            </w:tcBorders>
            <w:shd w:val="clear" w:color="auto" w:fill="auto"/>
            <w:vAlign w:val="center"/>
          </w:tcPr>
          <w:p w14:paraId="458953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959" w:type="dxa"/>
            <w:tcBorders>
              <w:top w:val="nil"/>
              <w:left w:val="nil"/>
              <w:bottom w:val="single" w:color="auto" w:sz="4" w:space="0"/>
              <w:right w:val="single" w:color="auto" w:sz="4" w:space="0"/>
            </w:tcBorders>
            <w:shd w:val="clear" w:color="auto" w:fill="auto"/>
            <w:vAlign w:val="center"/>
          </w:tcPr>
          <w:p w14:paraId="33877C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105" w:type="dxa"/>
            <w:tcBorders>
              <w:top w:val="nil"/>
              <w:left w:val="nil"/>
              <w:bottom w:val="single" w:color="auto" w:sz="4" w:space="0"/>
              <w:right w:val="single" w:color="auto" w:sz="4" w:space="0"/>
            </w:tcBorders>
            <w:shd w:val="clear" w:color="auto" w:fill="auto"/>
            <w:vAlign w:val="center"/>
          </w:tcPr>
          <w:p w14:paraId="669AAB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566" w:type="dxa"/>
            <w:tcBorders>
              <w:top w:val="nil"/>
              <w:left w:val="nil"/>
              <w:bottom w:val="single" w:color="auto" w:sz="4" w:space="0"/>
              <w:right w:val="single" w:color="auto" w:sz="4" w:space="0"/>
            </w:tcBorders>
            <w:shd w:val="clear" w:color="auto" w:fill="auto"/>
            <w:vAlign w:val="center"/>
          </w:tcPr>
          <w:p w14:paraId="35C84A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703" w:type="dxa"/>
            <w:tcBorders>
              <w:top w:val="nil"/>
              <w:left w:val="nil"/>
              <w:bottom w:val="single" w:color="auto" w:sz="4" w:space="0"/>
              <w:right w:val="single" w:color="auto" w:sz="4" w:space="0"/>
            </w:tcBorders>
            <w:shd w:val="clear" w:color="auto" w:fill="auto"/>
            <w:vAlign w:val="center"/>
          </w:tcPr>
          <w:p w14:paraId="0AD7AC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9" w:type="dxa"/>
            <w:tcBorders>
              <w:top w:val="nil"/>
              <w:left w:val="nil"/>
              <w:bottom w:val="single" w:color="auto" w:sz="4" w:space="0"/>
              <w:right w:val="single" w:color="auto" w:sz="4" w:space="0"/>
            </w:tcBorders>
            <w:shd w:val="clear" w:color="auto" w:fill="auto"/>
            <w:vAlign w:val="center"/>
          </w:tcPr>
          <w:p w14:paraId="40A33A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23" w:type="dxa"/>
            <w:gridSpan w:val="2"/>
            <w:tcBorders>
              <w:top w:val="nil"/>
              <w:left w:val="nil"/>
              <w:bottom w:val="single" w:color="auto" w:sz="4" w:space="0"/>
              <w:right w:val="single" w:color="auto" w:sz="4" w:space="0"/>
            </w:tcBorders>
            <w:shd w:val="clear" w:color="auto" w:fill="auto"/>
            <w:vAlign w:val="center"/>
          </w:tcPr>
          <w:p w14:paraId="0442E9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32" w:type="dxa"/>
            <w:tcBorders>
              <w:top w:val="nil"/>
              <w:left w:val="nil"/>
              <w:bottom w:val="single" w:color="auto" w:sz="4" w:space="0"/>
              <w:right w:val="single" w:color="auto" w:sz="4" w:space="0"/>
            </w:tcBorders>
            <w:shd w:val="clear" w:color="auto" w:fill="auto"/>
            <w:vAlign w:val="center"/>
          </w:tcPr>
          <w:p w14:paraId="6545E8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c>
          <w:tcPr>
            <w:tcW w:w="783" w:type="dxa"/>
            <w:tcBorders>
              <w:top w:val="nil"/>
              <w:left w:val="nil"/>
              <w:bottom w:val="single" w:color="auto" w:sz="4" w:space="0"/>
              <w:right w:val="single" w:color="auto" w:sz="4" w:space="0"/>
            </w:tcBorders>
            <w:shd w:val="clear" w:color="auto" w:fill="auto"/>
            <w:vAlign w:val="center"/>
          </w:tcPr>
          <w:p w14:paraId="0A20CE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default" w:ascii="方正仿宋_GBK" w:hAnsi="方正仿宋_GBK" w:eastAsia="方正仿宋_GBK" w:cs="方正仿宋_GBK"/>
                <w:b w:val="0"/>
                <w:bCs/>
                <w:color w:val="000000"/>
                <w:kern w:val="0"/>
                <w:sz w:val="28"/>
                <w:szCs w:val="28"/>
                <w:highlight w:val="none"/>
              </w:rPr>
              <w:t>　</w:t>
            </w:r>
          </w:p>
        </w:tc>
      </w:tr>
      <w:tr w14:paraId="1ED0E613">
        <w:tblPrEx>
          <w:tblCellMar>
            <w:top w:w="0" w:type="dxa"/>
            <w:left w:w="108" w:type="dxa"/>
            <w:bottom w:w="0" w:type="dxa"/>
            <w:right w:w="108" w:type="dxa"/>
          </w:tblCellMar>
        </w:tblPrEx>
        <w:trPr>
          <w:trHeight w:val="626" w:hRule="atLeast"/>
        </w:trPr>
        <w:tc>
          <w:tcPr>
            <w:tcW w:w="1807"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72584A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填表时间：</w:t>
            </w:r>
          </w:p>
        </w:tc>
        <w:tc>
          <w:tcPr>
            <w:tcW w:w="12186" w:type="dxa"/>
            <w:gridSpan w:val="17"/>
            <w:tcBorders>
              <w:top w:val="single" w:color="auto" w:sz="4" w:space="0"/>
              <w:left w:val="nil"/>
              <w:bottom w:val="single" w:color="auto" w:sz="4" w:space="0"/>
              <w:right w:val="single" w:color="000000" w:sz="4" w:space="0"/>
            </w:tcBorders>
            <w:shd w:val="clear" w:color="auto" w:fill="auto"/>
            <w:vAlign w:val="center"/>
          </w:tcPr>
          <w:p w14:paraId="60F8E2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bl>
    <w:p w14:paraId="78D977F8">
      <w:pPr>
        <w:pStyle w:val="2"/>
      </w:pPr>
    </w:p>
    <w:p w14:paraId="07199623">
      <w:pPr>
        <w:spacing w:line="620" w:lineRule="exact"/>
        <w:rPr>
          <w:rFonts w:hint="default" w:ascii="Times New Roman" w:hAnsi="Times New Roman" w:eastAsia="方正仿宋_GBK" w:cs="Times New Roman"/>
          <w:b w:val="0"/>
          <w:bCs/>
          <w:sz w:val="32"/>
          <w:szCs w:val="32"/>
          <w:highlight w:val="none"/>
        </w:rPr>
        <w:sectPr>
          <w:footerReference r:id="rId8" w:type="default"/>
          <w:footerReference r:id="rId9" w:type="even"/>
          <w:pgSz w:w="16838" w:h="11906" w:orient="landscape"/>
          <w:pgMar w:top="1701" w:right="1417" w:bottom="1701" w:left="1587" w:header="851" w:footer="1587" w:gutter="0"/>
          <w:pgNumType w:fmt="decimal"/>
          <w:cols w:space="0" w:num="1"/>
          <w:rtlGutter w:val="0"/>
          <w:docGrid w:type="lines" w:linePitch="327" w:charSpace="0"/>
        </w:sectPr>
      </w:pPr>
    </w:p>
    <w:p w14:paraId="74B7B42E">
      <w:pPr>
        <w:keepNext w:val="0"/>
        <w:keepLines w:val="0"/>
        <w:pageBreakBefore w:val="0"/>
        <w:kinsoku/>
        <w:wordWrap/>
        <w:overflowPunct/>
        <w:topLinePunct w:val="0"/>
        <w:autoSpaceDE/>
        <w:autoSpaceDN/>
        <w:bidi w:val="0"/>
        <w:snapToGrid w:val="0"/>
        <w:spacing w:line="600" w:lineRule="exact"/>
        <w:jc w:val="left"/>
        <w:rPr>
          <w:rFonts w:hint="default" w:ascii="Times New Roman" w:hAnsi="Times New Roman" w:eastAsia="方正仿宋_GBK" w:cs="Times New Roman"/>
          <w:b w:val="0"/>
          <w:bCs/>
          <w:sz w:val="32"/>
          <w:szCs w:val="32"/>
          <w:highlight w:val="none"/>
          <w:lang w:val="en-US" w:eastAsia="zh-CN"/>
        </w:rPr>
      </w:pPr>
      <w:r>
        <w:rPr>
          <w:rFonts w:hint="default" w:ascii="Times New Roman" w:hAnsi="Times New Roman" w:eastAsia="方正仿宋_GBK" w:cs="Times New Roman"/>
          <w:b w:val="0"/>
          <w:bCs/>
          <w:sz w:val="32"/>
          <w:szCs w:val="32"/>
          <w:highlight w:val="none"/>
        </w:rPr>
        <w:t>附</w:t>
      </w:r>
      <w:r>
        <w:rPr>
          <w:rFonts w:hint="default" w:ascii="Times New Roman" w:hAnsi="Times New Roman" w:eastAsia="方正仿宋_GBK" w:cs="Times New Roman"/>
          <w:b w:val="0"/>
          <w:bCs/>
          <w:sz w:val="32"/>
          <w:szCs w:val="32"/>
          <w:highlight w:val="none"/>
          <w:lang w:eastAsia="zh-CN"/>
        </w:rPr>
        <w:t>件</w:t>
      </w:r>
      <w:bookmarkStart w:id="419" w:name="RANGE!A1:J23"/>
      <w:r>
        <w:rPr>
          <w:rFonts w:hint="eastAsia" w:ascii="Times New Roman" w:hAnsi="Times New Roman" w:eastAsia="方正仿宋_GBK" w:cs="Times New Roman"/>
          <w:b w:val="0"/>
          <w:bCs/>
          <w:sz w:val="32"/>
          <w:szCs w:val="32"/>
          <w:highlight w:val="none"/>
          <w:lang w:val="en-US" w:eastAsia="zh-CN"/>
        </w:rPr>
        <w:t>3</w:t>
      </w:r>
    </w:p>
    <w:p w14:paraId="46B64F84">
      <w:pPr>
        <w:keepNext w:val="0"/>
        <w:keepLines w:val="0"/>
        <w:widowControl/>
        <w:suppressLineNumbers w:val="0"/>
        <w:spacing w:before="0" w:beforeAutospacing="0" w:after="0" w:afterAutospacing="0"/>
        <w:ind w:left="0" w:right="0"/>
        <w:jc w:val="center"/>
        <w:rPr>
          <w:rFonts w:hint="eastAsia" w:ascii="方正小标宋_GBK" w:hAnsi="方正小标宋_GBK" w:eastAsia="方正小标宋_GBK" w:cs="方正小标宋_GBK"/>
          <w:b w:val="0"/>
          <w:bCs/>
          <w:kern w:val="0"/>
          <w:sz w:val="44"/>
          <w:szCs w:val="44"/>
          <w:highlight w:val="none"/>
        </w:rPr>
      </w:pPr>
      <w:r>
        <w:rPr>
          <w:rFonts w:hint="default" w:ascii="方正小标宋_GBK" w:hAnsi="方正小标宋_GBK" w:eastAsia="方正小标宋_GBK" w:cs="方正小标宋_GBK"/>
          <w:b w:val="0"/>
          <w:bCs/>
          <w:kern w:val="0"/>
          <w:sz w:val="44"/>
          <w:szCs w:val="44"/>
          <w:highlight w:val="none"/>
          <w:lang w:val="en-US" w:eastAsia="zh-CN"/>
        </w:rPr>
        <w:t>病死</w:t>
      </w:r>
      <w:r>
        <w:rPr>
          <w:rFonts w:hint="eastAsia" w:ascii="方正小标宋_GBK" w:hAnsi="方正小标宋_GBK" w:eastAsia="方正小标宋_GBK" w:cs="方正小标宋_GBK"/>
          <w:b w:val="0"/>
          <w:bCs/>
          <w:kern w:val="0"/>
          <w:sz w:val="44"/>
          <w:szCs w:val="44"/>
          <w:highlight w:val="none"/>
          <w:lang w:val="en-US" w:eastAsia="zh-CN"/>
        </w:rPr>
        <w:t>（</w:t>
      </w:r>
      <w:r>
        <w:rPr>
          <w:rFonts w:hint="default" w:ascii="方正小标宋_GBK" w:hAnsi="方正小标宋_GBK" w:eastAsia="方正小标宋_GBK" w:cs="方正小标宋_GBK"/>
          <w:b w:val="0"/>
          <w:bCs/>
          <w:kern w:val="0"/>
          <w:sz w:val="44"/>
          <w:szCs w:val="44"/>
          <w:highlight w:val="none"/>
          <w:lang w:val="en-US" w:eastAsia="zh-CN"/>
        </w:rPr>
        <w:t>濒死、枯死、因灾致死</w:t>
      </w:r>
      <w:r>
        <w:rPr>
          <w:rFonts w:hint="eastAsia" w:ascii="方正小标宋_GBK" w:hAnsi="方正小标宋_GBK" w:eastAsia="方正小标宋_GBK" w:cs="方正小标宋_GBK"/>
          <w:b w:val="0"/>
          <w:bCs/>
          <w:kern w:val="0"/>
          <w:sz w:val="44"/>
          <w:szCs w:val="44"/>
          <w:highlight w:val="none"/>
          <w:lang w:val="en-US" w:eastAsia="zh-CN"/>
        </w:rPr>
        <w:t>）</w:t>
      </w:r>
      <w:r>
        <w:rPr>
          <w:rFonts w:hint="eastAsia" w:ascii="方正小标宋_GBK" w:hAnsi="方正小标宋_GBK" w:eastAsia="方正小标宋_GBK" w:cs="方正小标宋_GBK"/>
          <w:b w:val="0"/>
          <w:bCs/>
          <w:kern w:val="0"/>
          <w:sz w:val="44"/>
          <w:szCs w:val="44"/>
          <w:highlight w:val="none"/>
        </w:rPr>
        <w:t>松树监测记录样表</w:t>
      </w:r>
    </w:p>
    <w:p w14:paraId="023BFAE6">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8"/>
          <w:szCs w:val="28"/>
        </w:rPr>
      </w:pPr>
      <w:r>
        <w:rPr>
          <w:rFonts w:hint="eastAsia" w:ascii="方正仿宋_GBK" w:hAnsi="方正仿宋_GBK" w:eastAsia="方正仿宋_GBK" w:cs="方正仿宋_GBK"/>
          <w:b w:val="0"/>
          <w:bCs/>
          <w:color w:val="000000"/>
          <w:kern w:val="0"/>
          <w:sz w:val="28"/>
          <w:szCs w:val="28"/>
        </w:rPr>
        <w:t>监测地点：</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u w:val="single"/>
          <w:lang w:val="en-US" w:eastAsia="zh-CN"/>
        </w:rPr>
        <w:t xml:space="preserve">       </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 xml:space="preserve"> 县（</w:t>
      </w:r>
      <w:r>
        <w:rPr>
          <w:rFonts w:hint="eastAsia" w:ascii="方正仿宋_GBK" w:hAnsi="方正仿宋_GBK" w:eastAsia="方正仿宋_GBK" w:cs="方正仿宋_GBK"/>
          <w:b w:val="0"/>
          <w:bCs/>
          <w:color w:val="000000"/>
          <w:kern w:val="0"/>
          <w:sz w:val="28"/>
          <w:szCs w:val="28"/>
          <w:lang w:val="en-US" w:eastAsia="zh-CN"/>
        </w:rPr>
        <w:t>市</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u w:val="single"/>
          <w:lang w:val="en-US" w:eastAsia="zh-CN"/>
        </w:rPr>
        <w:t xml:space="preserve">              </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 xml:space="preserve"> 乡（镇）、</w:t>
      </w:r>
      <w:r>
        <w:rPr>
          <w:rFonts w:hint="eastAsia" w:ascii="方正仿宋_GBK" w:hAnsi="方正仿宋_GBK" w:eastAsia="方正仿宋_GBK" w:cs="方正仿宋_GBK"/>
          <w:b w:val="0"/>
          <w:bCs/>
          <w:color w:val="000000"/>
          <w:kern w:val="0"/>
          <w:sz w:val="28"/>
          <w:szCs w:val="28"/>
          <w:lang w:val="en-US" w:eastAsia="zh-CN"/>
        </w:rPr>
        <w:t>保护区、</w:t>
      </w:r>
      <w:r>
        <w:rPr>
          <w:rFonts w:hint="eastAsia" w:ascii="方正仿宋_GBK" w:hAnsi="方正仿宋_GBK" w:eastAsia="方正仿宋_GBK" w:cs="方正仿宋_GBK"/>
          <w:b w:val="0"/>
          <w:bCs/>
          <w:color w:val="000000"/>
          <w:kern w:val="0"/>
          <w:sz w:val="28"/>
          <w:szCs w:val="28"/>
        </w:rPr>
        <w:t xml:space="preserve">林场 </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u w:val="single"/>
          <w:lang w:val="en-US" w:eastAsia="zh-CN"/>
        </w:rPr>
        <w:t xml:space="preserve">     </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 xml:space="preserve"> 小地名；</w:t>
      </w:r>
    </w:p>
    <w:p w14:paraId="16463874">
      <w:pPr>
        <w:pStyle w:val="2"/>
        <w:ind w:left="0" w:leftChars="0" w:firstLine="0" w:firstLineChars="0"/>
        <w:rPr>
          <w:rFonts w:hint="eastAsia" w:ascii="宋体" w:hAnsi="宋体" w:eastAsia="宋体" w:cs="宋体"/>
          <w:b w:val="0"/>
          <w:bCs/>
          <w:color w:val="000000"/>
          <w:kern w:val="0"/>
          <w:sz w:val="18"/>
          <w:szCs w:val="18"/>
        </w:rPr>
      </w:pPr>
    </w:p>
    <w:tbl>
      <w:tblPr>
        <w:tblStyle w:val="13"/>
        <w:tblW w:w="13957" w:type="dxa"/>
        <w:tblInd w:w="0" w:type="dxa"/>
        <w:tblLayout w:type="fixed"/>
        <w:tblCellMar>
          <w:top w:w="0" w:type="dxa"/>
          <w:left w:w="108" w:type="dxa"/>
          <w:bottom w:w="0" w:type="dxa"/>
          <w:right w:w="108" w:type="dxa"/>
        </w:tblCellMar>
      </w:tblPr>
      <w:tblGrid>
        <w:gridCol w:w="1417"/>
        <w:gridCol w:w="1417"/>
        <w:gridCol w:w="1417"/>
        <w:gridCol w:w="1417"/>
        <w:gridCol w:w="1417"/>
        <w:gridCol w:w="1417"/>
        <w:gridCol w:w="2021"/>
        <w:gridCol w:w="1667"/>
        <w:gridCol w:w="1767"/>
      </w:tblGrid>
      <w:tr w14:paraId="37363256">
        <w:tblPrEx>
          <w:tblCellMar>
            <w:top w:w="0" w:type="dxa"/>
            <w:left w:w="108" w:type="dxa"/>
            <w:bottom w:w="0" w:type="dxa"/>
            <w:right w:w="108" w:type="dxa"/>
          </w:tblCellMar>
        </w:tblPrEx>
        <w:trPr>
          <w:trHeight w:val="680" w:hRule="exact"/>
        </w:trPr>
        <w:tc>
          <w:tcPr>
            <w:tcW w:w="1417" w:type="dxa"/>
            <w:vMerge w:val="restart"/>
            <w:tcBorders>
              <w:top w:val="single" w:color="auto" w:sz="4" w:space="0"/>
              <w:left w:val="single" w:color="auto" w:sz="4" w:space="0"/>
              <w:right w:val="single" w:color="auto" w:sz="4" w:space="0"/>
            </w:tcBorders>
            <w:shd w:val="clear" w:color="auto" w:fill="auto"/>
            <w:vAlign w:val="center"/>
          </w:tcPr>
          <w:p w14:paraId="0E125D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序号</w:t>
            </w:r>
          </w:p>
        </w:tc>
        <w:tc>
          <w:tcPr>
            <w:tcW w:w="1417" w:type="dxa"/>
            <w:vMerge w:val="restart"/>
            <w:tcBorders>
              <w:top w:val="single" w:color="auto" w:sz="4" w:space="0"/>
              <w:left w:val="nil"/>
              <w:right w:val="single" w:color="auto" w:sz="4" w:space="0"/>
            </w:tcBorders>
            <w:shd w:val="clear" w:color="auto" w:fill="auto"/>
            <w:vAlign w:val="center"/>
          </w:tcPr>
          <w:p w14:paraId="057480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林班号</w:t>
            </w:r>
          </w:p>
        </w:tc>
        <w:tc>
          <w:tcPr>
            <w:tcW w:w="1417" w:type="dxa"/>
            <w:vMerge w:val="restart"/>
            <w:tcBorders>
              <w:top w:val="single" w:color="auto" w:sz="4" w:space="0"/>
              <w:left w:val="nil"/>
              <w:right w:val="single" w:color="auto" w:sz="4" w:space="0"/>
            </w:tcBorders>
            <w:shd w:val="clear" w:color="auto" w:fill="auto"/>
            <w:vAlign w:val="center"/>
          </w:tcPr>
          <w:p w14:paraId="103124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小班号</w:t>
            </w:r>
          </w:p>
        </w:tc>
        <w:tc>
          <w:tcPr>
            <w:tcW w:w="1417" w:type="dxa"/>
            <w:vMerge w:val="restart"/>
            <w:tcBorders>
              <w:top w:val="single" w:color="auto" w:sz="4" w:space="0"/>
              <w:left w:val="nil"/>
              <w:right w:val="single" w:color="auto" w:sz="4" w:space="0"/>
            </w:tcBorders>
            <w:shd w:val="clear" w:color="auto" w:fill="auto"/>
            <w:vAlign w:val="center"/>
          </w:tcPr>
          <w:p w14:paraId="7D117D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lang w:val="en-US" w:eastAsia="zh-CN"/>
              </w:rPr>
            </w:pPr>
            <w:r>
              <w:rPr>
                <w:rFonts w:hint="eastAsia" w:ascii="方正仿宋_GBK" w:hAnsi="方正仿宋_GBK" w:eastAsia="方正仿宋_GBK" w:cs="方正仿宋_GBK"/>
                <w:b w:val="0"/>
                <w:bCs/>
                <w:color w:val="000000"/>
                <w:kern w:val="0"/>
                <w:sz w:val="24"/>
                <w:szCs w:val="24"/>
                <w:highlight w:val="none"/>
                <w:lang w:val="en-US" w:eastAsia="zh-CN"/>
              </w:rPr>
              <w:t>监测方式</w:t>
            </w:r>
          </w:p>
        </w:tc>
        <w:tc>
          <w:tcPr>
            <w:tcW w:w="1417" w:type="dxa"/>
            <w:vMerge w:val="restart"/>
            <w:tcBorders>
              <w:top w:val="single" w:color="auto" w:sz="4" w:space="0"/>
              <w:left w:val="nil"/>
              <w:right w:val="single" w:color="auto" w:sz="4" w:space="0"/>
            </w:tcBorders>
            <w:shd w:val="clear" w:color="auto" w:fill="auto"/>
            <w:vAlign w:val="center"/>
          </w:tcPr>
          <w:p w14:paraId="2CDF42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监测面积</w:t>
            </w:r>
            <w:r>
              <w:rPr>
                <w:rFonts w:hint="eastAsia" w:ascii="方正仿宋_GBK" w:hAnsi="方正仿宋_GBK" w:eastAsia="方正仿宋_GBK" w:cs="方正仿宋_GBK"/>
                <w:b w:val="0"/>
                <w:bCs/>
                <w:color w:val="000000"/>
                <w:kern w:val="0"/>
                <w:sz w:val="24"/>
                <w:szCs w:val="24"/>
                <w:highlight w:val="none"/>
              </w:rPr>
              <w:br w:type="textWrapping"/>
            </w:r>
            <w:r>
              <w:rPr>
                <w:rFonts w:hint="eastAsia" w:ascii="方正仿宋_GBK" w:hAnsi="方正仿宋_GBK" w:eastAsia="方正仿宋_GBK" w:cs="方正仿宋_GBK"/>
                <w:b w:val="0"/>
                <w:bCs/>
                <w:color w:val="000000"/>
                <w:kern w:val="0"/>
                <w:sz w:val="24"/>
                <w:szCs w:val="24"/>
                <w:highlight w:val="none"/>
              </w:rPr>
              <w:t>（</w:t>
            </w:r>
            <w:r>
              <w:rPr>
                <w:rFonts w:hint="eastAsia" w:ascii="方正仿宋_GBK" w:hAnsi="方正仿宋_GBK" w:eastAsia="方正仿宋_GBK" w:cs="方正仿宋_GBK"/>
                <w:color w:val="000000"/>
                <w:kern w:val="0"/>
                <w:sz w:val="21"/>
                <w:szCs w:val="21"/>
                <w:highlight w:val="none"/>
              </w:rPr>
              <w:t>hm²</w:t>
            </w:r>
            <w:r>
              <w:rPr>
                <w:rFonts w:hint="eastAsia" w:ascii="方正仿宋_GBK" w:hAnsi="方正仿宋_GBK" w:eastAsia="方正仿宋_GBK" w:cs="方正仿宋_GBK"/>
                <w:b w:val="0"/>
                <w:bCs/>
                <w:color w:val="000000"/>
                <w:kern w:val="0"/>
                <w:sz w:val="24"/>
                <w:szCs w:val="24"/>
                <w:highlight w:val="none"/>
              </w:rPr>
              <w:t>）</w:t>
            </w:r>
          </w:p>
        </w:tc>
        <w:tc>
          <w:tcPr>
            <w:tcW w:w="5105" w:type="dxa"/>
            <w:gridSpan w:val="3"/>
            <w:tcBorders>
              <w:top w:val="single" w:color="auto" w:sz="4" w:space="0"/>
              <w:left w:val="nil"/>
              <w:bottom w:val="single" w:color="auto" w:sz="4" w:space="0"/>
              <w:right w:val="single" w:color="auto" w:sz="4" w:space="0"/>
            </w:tcBorders>
            <w:shd w:val="clear" w:color="auto" w:fill="auto"/>
            <w:vAlign w:val="center"/>
          </w:tcPr>
          <w:p w14:paraId="13C99F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枯死松监测情况</w:t>
            </w:r>
          </w:p>
        </w:tc>
        <w:tc>
          <w:tcPr>
            <w:tcW w:w="1767" w:type="dxa"/>
            <w:vMerge w:val="restart"/>
            <w:tcBorders>
              <w:top w:val="single" w:color="auto" w:sz="4" w:space="0"/>
              <w:left w:val="single" w:color="auto" w:sz="4" w:space="0"/>
              <w:right w:val="single" w:color="auto" w:sz="4" w:space="0"/>
            </w:tcBorders>
            <w:shd w:val="clear" w:color="auto" w:fill="auto"/>
            <w:vAlign w:val="center"/>
          </w:tcPr>
          <w:p w14:paraId="49A0CA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lang w:val="en-US" w:eastAsia="zh-CN"/>
              </w:rPr>
            </w:pPr>
            <w:r>
              <w:rPr>
                <w:rFonts w:hint="eastAsia" w:ascii="方正仿宋_GBK" w:hAnsi="方正仿宋_GBK" w:eastAsia="方正仿宋_GBK" w:cs="方正仿宋_GBK"/>
                <w:b w:val="0"/>
                <w:bCs/>
                <w:color w:val="000000"/>
                <w:kern w:val="0"/>
                <w:sz w:val="24"/>
                <w:szCs w:val="24"/>
                <w:highlight w:val="none"/>
                <w:lang w:val="en-US" w:eastAsia="zh-CN"/>
              </w:rPr>
              <w:t>备注</w:t>
            </w:r>
          </w:p>
        </w:tc>
      </w:tr>
      <w:tr w14:paraId="15455607">
        <w:tblPrEx>
          <w:tblCellMar>
            <w:top w:w="0" w:type="dxa"/>
            <w:left w:w="108" w:type="dxa"/>
            <w:bottom w:w="0" w:type="dxa"/>
            <w:right w:w="108" w:type="dxa"/>
          </w:tblCellMar>
        </w:tblPrEx>
        <w:trPr>
          <w:trHeight w:val="680" w:hRule="exact"/>
        </w:trPr>
        <w:tc>
          <w:tcPr>
            <w:tcW w:w="1417" w:type="dxa"/>
            <w:vMerge w:val="continue"/>
            <w:tcBorders>
              <w:left w:val="single" w:color="auto" w:sz="4" w:space="0"/>
              <w:bottom w:val="single" w:color="auto" w:sz="4" w:space="0"/>
              <w:right w:val="single" w:color="auto" w:sz="4" w:space="0"/>
            </w:tcBorders>
            <w:shd w:val="clear" w:color="auto" w:fill="auto"/>
            <w:vAlign w:val="center"/>
          </w:tcPr>
          <w:p w14:paraId="30B3DF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vMerge w:val="continue"/>
            <w:tcBorders>
              <w:left w:val="nil"/>
              <w:bottom w:val="single" w:color="auto" w:sz="4" w:space="0"/>
              <w:right w:val="single" w:color="auto" w:sz="4" w:space="0"/>
            </w:tcBorders>
            <w:shd w:val="clear" w:color="auto" w:fill="auto"/>
            <w:vAlign w:val="center"/>
          </w:tcPr>
          <w:p w14:paraId="6A285D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vMerge w:val="continue"/>
            <w:tcBorders>
              <w:left w:val="nil"/>
              <w:bottom w:val="single" w:color="auto" w:sz="4" w:space="0"/>
              <w:right w:val="single" w:color="auto" w:sz="4" w:space="0"/>
            </w:tcBorders>
            <w:shd w:val="clear" w:color="auto" w:fill="auto"/>
            <w:vAlign w:val="center"/>
          </w:tcPr>
          <w:p w14:paraId="4EE1AE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vMerge w:val="continue"/>
            <w:tcBorders>
              <w:left w:val="nil"/>
              <w:bottom w:val="single" w:color="auto" w:sz="4" w:space="0"/>
              <w:right w:val="single" w:color="auto" w:sz="4" w:space="0"/>
            </w:tcBorders>
            <w:shd w:val="clear" w:color="auto" w:fill="auto"/>
            <w:vAlign w:val="center"/>
          </w:tcPr>
          <w:p w14:paraId="7E1ACB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vMerge w:val="continue"/>
            <w:tcBorders>
              <w:left w:val="nil"/>
              <w:bottom w:val="single" w:color="auto" w:sz="4" w:space="0"/>
              <w:right w:val="single" w:color="auto" w:sz="4" w:space="0"/>
            </w:tcBorders>
            <w:shd w:val="clear" w:color="auto" w:fill="auto"/>
            <w:vAlign w:val="center"/>
          </w:tcPr>
          <w:p w14:paraId="15BA34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3310F1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数量（株）</w:t>
            </w:r>
          </w:p>
        </w:tc>
        <w:tc>
          <w:tcPr>
            <w:tcW w:w="3688" w:type="dxa"/>
            <w:gridSpan w:val="2"/>
            <w:tcBorders>
              <w:top w:val="single" w:color="auto" w:sz="4" w:space="0"/>
              <w:left w:val="nil"/>
              <w:bottom w:val="single" w:color="auto" w:sz="4" w:space="0"/>
              <w:right w:val="single" w:color="auto" w:sz="4" w:space="0"/>
            </w:tcBorders>
            <w:shd w:val="clear" w:color="auto" w:fill="auto"/>
            <w:vAlign w:val="center"/>
          </w:tcPr>
          <w:p w14:paraId="20EBFD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相应地理坐标</w:t>
            </w:r>
          </w:p>
        </w:tc>
        <w:tc>
          <w:tcPr>
            <w:tcW w:w="1767" w:type="dxa"/>
            <w:vMerge w:val="continue"/>
            <w:tcBorders>
              <w:left w:val="single" w:color="auto" w:sz="4" w:space="0"/>
              <w:bottom w:val="single" w:color="auto" w:sz="4" w:space="0"/>
              <w:right w:val="single" w:color="auto" w:sz="4" w:space="0"/>
            </w:tcBorders>
            <w:shd w:val="clear" w:color="auto" w:fill="auto"/>
            <w:vAlign w:val="center"/>
          </w:tcPr>
          <w:p w14:paraId="728639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r>
      <w:tr w14:paraId="512F7A77">
        <w:tblPrEx>
          <w:tblCellMar>
            <w:top w:w="0" w:type="dxa"/>
            <w:left w:w="108" w:type="dxa"/>
            <w:bottom w:w="0" w:type="dxa"/>
            <w:right w:w="108" w:type="dxa"/>
          </w:tblCellMar>
        </w:tblPrEx>
        <w:trPr>
          <w:trHeight w:val="680" w:hRule="exact"/>
        </w:trPr>
        <w:tc>
          <w:tcPr>
            <w:tcW w:w="1417" w:type="dxa"/>
            <w:tcBorders>
              <w:top w:val="nil"/>
              <w:left w:val="single" w:color="auto" w:sz="4" w:space="0"/>
              <w:bottom w:val="single" w:color="auto" w:sz="4" w:space="0"/>
              <w:right w:val="single" w:color="auto" w:sz="4" w:space="0"/>
            </w:tcBorders>
            <w:shd w:val="clear" w:color="auto" w:fill="auto"/>
            <w:vAlign w:val="center"/>
          </w:tcPr>
          <w:p w14:paraId="5E0835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3FEEF1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7E393C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4C9648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66BB8A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2C9640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2021" w:type="dxa"/>
            <w:tcBorders>
              <w:top w:val="nil"/>
              <w:left w:val="nil"/>
              <w:bottom w:val="single" w:color="auto" w:sz="4" w:space="0"/>
              <w:right w:val="single" w:color="auto" w:sz="4" w:space="0"/>
            </w:tcBorders>
            <w:shd w:val="clear" w:color="auto" w:fill="auto"/>
            <w:vAlign w:val="center"/>
          </w:tcPr>
          <w:p w14:paraId="63891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667" w:type="dxa"/>
            <w:tcBorders>
              <w:top w:val="nil"/>
              <w:left w:val="nil"/>
              <w:bottom w:val="single" w:color="auto" w:sz="4" w:space="0"/>
              <w:right w:val="single" w:color="auto" w:sz="4" w:space="0"/>
            </w:tcBorders>
            <w:shd w:val="clear" w:color="auto" w:fill="auto"/>
            <w:vAlign w:val="center"/>
          </w:tcPr>
          <w:p w14:paraId="0155E1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767" w:type="dxa"/>
            <w:tcBorders>
              <w:top w:val="nil"/>
              <w:left w:val="single" w:color="auto" w:sz="4" w:space="0"/>
              <w:bottom w:val="single" w:color="auto" w:sz="4" w:space="0"/>
              <w:right w:val="single" w:color="auto" w:sz="4" w:space="0"/>
            </w:tcBorders>
            <w:shd w:val="clear" w:color="auto" w:fill="auto"/>
            <w:vAlign w:val="center"/>
          </w:tcPr>
          <w:p w14:paraId="1D76E0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r>
      <w:tr w14:paraId="1EF83C4B">
        <w:tblPrEx>
          <w:tblCellMar>
            <w:top w:w="0" w:type="dxa"/>
            <w:left w:w="108" w:type="dxa"/>
            <w:bottom w:w="0" w:type="dxa"/>
            <w:right w:w="108" w:type="dxa"/>
          </w:tblCellMar>
        </w:tblPrEx>
        <w:trPr>
          <w:trHeight w:val="680" w:hRule="exact"/>
        </w:trPr>
        <w:tc>
          <w:tcPr>
            <w:tcW w:w="1417" w:type="dxa"/>
            <w:tcBorders>
              <w:top w:val="nil"/>
              <w:left w:val="single" w:color="auto" w:sz="4" w:space="0"/>
              <w:bottom w:val="single" w:color="auto" w:sz="4" w:space="0"/>
              <w:right w:val="single" w:color="auto" w:sz="4" w:space="0"/>
            </w:tcBorders>
            <w:shd w:val="clear" w:color="auto" w:fill="auto"/>
            <w:vAlign w:val="center"/>
          </w:tcPr>
          <w:p w14:paraId="57DBAD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3CB0ED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2B23FE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7369EC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063F83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417" w:type="dxa"/>
            <w:tcBorders>
              <w:top w:val="nil"/>
              <w:left w:val="nil"/>
              <w:bottom w:val="single" w:color="auto" w:sz="4" w:space="0"/>
              <w:right w:val="single" w:color="auto" w:sz="4" w:space="0"/>
            </w:tcBorders>
            <w:shd w:val="clear" w:color="auto" w:fill="auto"/>
            <w:vAlign w:val="center"/>
          </w:tcPr>
          <w:p w14:paraId="638AE6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2021" w:type="dxa"/>
            <w:tcBorders>
              <w:top w:val="nil"/>
              <w:left w:val="nil"/>
              <w:bottom w:val="single" w:color="auto" w:sz="4" w:space="0"/>
              <w:right w:val="single" w:color="auto" w:sz="4" w:space="0"/>
            </w:tcBorders>
            <w:shd w:val="clear" w:color="auto" w:fill="auto"/>
            <w:vAlign w:val="center"/>
          </w:tcPr>
          <w:p w14:paraId="12D585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667" w:type="dxa"/>
            <w:tcBorders>
              <w:top w:val="nil"/>
              <w:left w:val="nil"/>
              <w:bottom w:val="single" w:color="auto" w:sz="4" w:space="0"/>
              <w:right w:val="single" w:color="auto" w:sz="4" w:space="0"/>
            </w:tcBorders>
            <w:shd w:val="clear" w:color="auto" w:fill="auto"/>
            <w:vAlign w:val="center"/>
          </w:tcPr>
          <w:p w14:paraId="46F338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c>
          <w:tcPr>
            <w:tcW w:w="1767" w:type="dxa"/>
            <w:tcBorders>
              <w:top w:val="nil"/>
              <w:left w:val="single" w:color="auto" w:sz="4" w:space="0"/>
              <w:bottom w:val="single" w:color="auto" w:sz="4" w:space="0"/>
              <w:right w:val="single" w:color="auto" w:sz="4" w:space="0"/>
            </w:tcBorders>
            <w:shd w:val="clear" w:color="auto" w:fill="auto"/>
            <w:vAlign w:val="center"/>
          </w:tcPr>
          <w:p w14:paraId="41B82D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w:t>
            </w:r>
          </w:p>
        </w:tc>
      </w:tr>
      <w:tr w14:paraId="4FEA4460">
        <w:tblPrEx>
          <w:tblCellMar>
            <w:top w:w="0" w:type="dxa"/>
            <w:left w:w="108" w:type="dxa"/>
            <w:bottom w:w="0" w:type="dxa"/>
            <w:right w:w="108" w:type="dxa"/>
          </w:tblCellMar>
        </w:tblPrEx>
        <w:trPr>
          <w:trHeight w:val="680" w:hRule="exact"/>
        </w:trPr>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4FC9EF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6E5459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583126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6B15D9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5F26CB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05F270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2021" w:type="dxa"/>
            <w:tcBorders>
              <w:top w:val="single" w:color="auto" w:sz="4" w:space="0"/>
              <w:left w:val="nil"/>
              <w:bottom w:val="single" w:color="auto" w:sz="4" w:space="0"/>
              <w:right w:val="single" w:color="auto" w:sz="4" w:space="0"/>
            </w:tcBorders>
            <w:shd w:val="clear" w:color="auto" w:fill="auto"/>
            <w:vAlign w:val="center"/>
          </w:tcPr>
          <w:p w14:paraId="72FD1C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667" w:type="dxa"/>
            <w:tcBorders>
              <w:top w:val="single" w:color="auto" w:sz="4" w:space="0"/>
              <w:left w:val="nil"/>
              <w:bottom w:val="single" w:color="auto" w:sz="4" w:space="0"/>
              <w:right w:val="single" w:color="auto" w:sz="4" w:space="0"/>
            </w:tcBorders>
            <w:shd w:val="clear" w:color="auto" w:fill="auto"/>
            <w:vAlign w:val="center"/>
          </w:tcPr>
          <w:p w14:paraId="4F1AA5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shd w:val="clear" w:color="auto" w:fill="auto"/>
            <w:vAlign w:val="center"/>
          </w:tcPr>
          <w:p w14:paraId="6F312B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4"/>
                <w:szCs w:val="24"/>
                <w:highlight w:val="none"/>
              </w:rPr>
            </w:pPr>
          </w:p>
        </w:tc>
      </w:tr>
      <w:tr w14:paraId="039715D7">
        <w:tblPrEx>
          <w:tblCellMar>
            <w:top w:w="0" w:type="dxa"/>
            <w:left w:w="108" w:type="dxa"/>
            <w:bottom w:w="0" w:type="dxa"/>
            <w:right w:w="108" w:type="dxa"/>
          </w:tblCellMar>
        </w:tblPrEx>
        <w:trPr>
          <w:trHeight w:val="680" w:hRule="exact"/>
        </w:trPr>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063152C0">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22"/>
                <w:szCs w:val="22"/>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1AFECD39">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22"/>
                <w:szCs w:val="22"/>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39DB4326">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22"/>
                <w:szCs w:val="22"/>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5C8BB487">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608CC506">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765758D3">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c>
          <w:tcPr>
            <w:tcW w:w="2021" w:type="dxa"/>
            <w:tcBorders>
              <w:top w:val="single" w:color="auto" w:sz="4" w:space="0"/>
              <w:left w:val="nil"/>
              <w:bottom w:val="single" w:color="auto" w:sz="4" w:space="0"/>
              <w:right w:val="single" w:color="auto" w:sz="4" w:space="0"/>
            </w:tcBorders>
            <w:shd w:val="clear" w:color="auto" w:fill="auto"/>
            <w:vAlign w:val="center"/>
          </w:tcPr>
          <w:p w14:paraId="6F52099E">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c>
          <w:tcPr>
            <w:tcW w:w="1667" w:type="dxa"/>
            <w:tcBorders>
              <w:top w:val="single" w:color="auto" w:sz="4" w:space="0"/>
              <w:left w:val="nil"/>
              <w:bottom w:val="single" w:color="auto" w:sz="4" w:space="0"/>
              <w:right w:val="single" w:color="auto" w:sz="4" w:space="0"/>
            </w:tcBorders>
            <w:shd w:val="clear" w:color="auto" w:fill="auto"/>
            <w:vAlign w:val="center"/>
          </w:tcPr>
          <w:p w14:paraId="662B04A8">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c>
          <w:tcPr>
            <w:tcW w:w="1767" w:type="dxa"/>
            <w:tcBorders>
              <w:top w:val="single" w:color="auto" w:sz="4" w:space="0"/>
              <w:left w:val="single" w:color="auto" w:sz="4" w:space="0"/>
              <w:bottom w:val="single" w:color="auto" w:sz="4" w:space="0"/>
              <w:right w:val="single" w:color="auto" w:sz="4" w:space="0"/>
            </w:tcBorders>
            <w:shd w:val="clear" w:color="auto" w:fill="auto"/>
            <w:vAlign w:val="center"/>
          </w:tcPr>
          <w:p w14:paraId="27B9208B">
            <w:pPr>
              <w:keepNext w:val="0"/>
              <w:keepLines w:val="0"/>
              <w:widowControl/>
              <w:suppressLineNumbers w:val="0"/>
              <w:spacing w:before="0" w:beforeAutospacing="0" w:after="0" w:afterAutospacing="0"/>
              <w:ind w:left="0" w:right="0"/>
              <w:jc w:val="center"/>
              <w:rPr>
                <w:rFonts w:hint="eastAsia" w:ascii="宋体" w:hAnsi="宋体" w:eastAsia="宋体" w:cs="宋体"/>
                <w:b w:val="0"/>
                <w:bCs/>
                <w:color w:val="000000"/>
                <w:kern w:val="0"/>
                <w:sz w:val="18"/>
                <w:szCs w:val="18"/>
              </w:rPr>
            </w:pPr>
          </w:p>
        </w:tc>
      </w:tr>
    </w:tbl>
    <w:p w14:paraId="1C4A80BB">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8"/>
          <w:szCs w:val="28"/>
        </w:rPr>
      </w:pPr>
      <w:r>
        <w:rPr>
          <w:rFonts w:hint="eastAsia" w:ascii="方正仿宋_GBK" w:hAnsi="方正仿宋_GBK" w:eastAsia="方正仿宋_GBK" w:cs="方正仿宋_GBK"/>
          <w:b w:val="0"/>
          <w:bCs/>
          <w:color w:val="000000"/>
          <w:kern w:val="0"/>
          <w:sz w:val="28"/>
          <w:szCs w:val="28"/>
          <w:lang w:val="en-US" w:eastAsia="zh-CN"/>
        </w:rPr>
        <w:t>监测人员：</w:t>
      </w:r>
      <w:r>
        <w:rPr>
          <w:rFonts w:hint="eastAsia" w:ascii="方正仿宋_GBK" w:hAnsi="方正仿宋_GBK" w:eastAsia="方正仿宋_GBK" w:cs="方正仿宋_GBK"/>
          <w:b w:val="0"/>
          <w:bCs/>
          <w:color w:val="000000"/>
          <w:kern w:val="0"/>
          <w:sz w:val="28"/>
          <w:szCs w:val="28"/>
          <w:u w:val="single"/>
          <w:lang w:val="en-US" w:eastAsia="zh-CN"/>
        </w:rPr>
        <w:t xml:space="preserve">                      </w:t>
      </w:r>
      <w:r>
        <w:rPr>
          <w:rFonts w:hint="eastAsia" w:ascii="方正仿宋_GBK" w:hAnsi="方正仿宋_GBK" w:eastAsia="方正仿宋_GBK" w:cs="方正仿宋_GBK"/>
          <w:b w:val="0"/>
          <w:bCs/>
          <w:color w:val="000000"/>
          <w:kern w:val="0"/>
          <w:sz w:val="28"/>
          <w:szCs w:val="28"/>
          <w:u w:val="none"/>
          <w:lang w:val="en-US" w:eastAsia="zh-CN"/>
        </w:rPr>
        <w:t xml:space="preserve">   审核人员</w:t>
      </w:r>
      <w:r>
        <w:rPr>
          <w:rFonts w:hint="eastAsia" w:ascii="方正仿宋_GBK" w:hAnsi="方正仿宋_GBK" w:eastAsia="方正仿宋_GBK" w:cs="方正仿宋_GBK"/>
          <w:b w:val="0"/>
          <w:bCs/>
          <w:color w:val="000000"/>
          <w:kern w:val="0"/>
          <w:sz w:val="28"/>
          <w:szCs w:val="28"/>
          <w:u w:val="single"/>
          <w:lang w:val="en-US" w:eastAsia="zh-CN"/>
        </w:rPr>
        <w:t xml:space="preserve">                   </w:t>
      </w:r>
      <w:r>
        <w:rPr>
          <w:rFonts w:hint="eastAsia" w:ascii="方正仿宋_GBK" w:hAnsi="方正仿宋_GBK" w:eastAsia="方正仿宋_GBK" w:cs="方正仿宋_GBK"/>
          <w:b w:val="0"/>
          <w:bCs/>
          <w:color w:val="000000"/>
          <w:kern w:val="0"/>
          <w:sz w:val="28"/>
          <w:szCs w:val="28"/>
          <w:u w:val="none"/>
          <w:lang w:val="en-US" w:eastAsia="zh-CN"/>
        </w:rPr>
        <w:t xml:space="preserve">        </w:t>
      </w:r>
      <w:r>
        <w:rPr>
          <w:rFonts w:hint="eastAsia" w:ascii="方正仿宋_GBK" w:hAnsi="方正仿宋_GBK" w:eastAsia="方正仿宋_GBK" w:cs="方正仿宋_GBK"/>
          <w:b w:val="0"/>
          <w:bCs/>
          <w:color w:val="000000"/>
          <w:kern w:val="0"/>
          <w:sz w:val="28"/>
          <w:szCs w:val="28"/>
        </w:rPr>
        <w:t>监测时间：</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年</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月</w:t>
      </w:r>
      <w:r>
        <w:rPr>
          <w:rFonts w:hint="eastAsia" w:ascii="方正仿宋_GBK" w:hAnsi="方正仿宋_GBK" w:eastAsia="方正仿宋_GBK" w:cs="方正仿宋_GBK"/>
          <w:b w:val="0"/>
          <w:bCs/>
          <w:color w:val="000000"/>
          <w:kern w:val="0"/>
          <w:sz w:val="28"/>
          <w:szCs w:val="28"/>
          <w:u w:val="single"/>
        </w:rPr>
        <w:t xml:space="preserve">    </w:t>
      </w:r>
      <w:r>
        <w:rPr>
          <w:rFonts w:hint="eastAsia" w:ascii="方正仿宋_GBK" w:hAnsi="方正仿宋_GBK" w:eastAsia="方正仿宋_GBK" w:cs="方正仿宋_GBK"/>
          <w:b w:val="0"/>
          <w:bCs/>
          <w:color w:val="000000"/>
          <w:kern w:val="0"/>
          <w:sz w:val="28"/>
          <w:szCs w:val="28"/>
        </w:rPr>
        <w:t>日</w:t>
      </w:r>
    </w:p>
    <w:p w14:paraId="722FA794">
      <w:pPr>
        <w:pStyle w:val="2"/>
        <w:ind w:left="0" w:leftChars="0" w:firstLine="0" w:firstLineChars="0"/>
        <w:rPr>
          <w:rFonts w:hint="default" w:ascii="Times New Roman" w:hAnsi="Times New Roman" w:eastAsia="方正仿宋_GBK" w:cs="Times New Roman"/>
          <w:b w:val="0"/>
          <w:bCs/>
          <w:sz w:val="32"/>
          <w:szCs w:val="32"/>
          <w:highlight w:val="none"/>
        </w:rPr>
      </w:pPr>
      <w:r>
        <w:rPr>
          <w:rFonts w:hint="eastAsia" w:ascii="方正仿宋_GBK" w:hAnsi="方正仿宋_GBK" w:eastAsia="方正仿宋_GBK" w:cs="方正仿宋_GBK"/>
          <w:b w:val="0"/>
          <w:bCs/>
          <w:color w:val="000000"/>
          <w:kern w:val="0"/>
          <w:sz w:val="28"/>
          <w:szCs w:val="28"/>
          <w:lang w:val="en-US" w:eastAsia="zh-CN" w:bidi="ar-SA"/>
        </w:rPr>
        <w:t>注：每株枯死松相应填写1个坐标点。</w:t>
      </w:r>
      <w:bookmarkEnd w:id="419"/>
    </w:p>
    <w:p w14:paraId="1C89C462">
      <w:pPr>
        <w:keepNext w:val="0"/>
        <w:keepLines w:val="0"/>
        <w:pageBreakBefore w:val="0"/>
        <w:kinsoku/>
        <w:wordWrap/>
        <w:overflowPunct/>
        <w:topLinePunct w:val="0"/>
        <w:autoSpaceDE/>
        <w:autoSpaceDN/>
        <w:bidi w:val="0"/>
        <w:snapToGrid w:val="0"/>
        <w:spacing w:line="600" w:lineRule="exact"/>
        <w:jc w:val="left"/>
        <w:rPr>
          <w:rFonts w:hint="default" w:ascii="Times New Roman" w:hAnsi="Times New Roman" w:eastAsia="方正仿宋_GBK" w:cs="Times New Roman"/>
          <w:b w:val="0"/>
          <w:bCs/>
          <w:sz w:val="32"/>
          <w:szCs w:val="32"/>
          <w:highlight w:val="none"/>
        </w:rPr>
      </w:pPr>
    </w:p>
    <w:p w14:paraId="492B3D58">
      <w:pPr>
        <w:keepNext w:val="0"/>
        <w:keepLines w:val="0"/>
        <w:pageBreakBefore w:val="0"/>
        <w:kinsoku/>
        <w:wordWrap/>
        <w:overflowPunct/>
        <w:topLinePunct w:val="0"/>
        <w:autoSpaceDE/>
        <w:autoSpaceDN/>
        <w:bidi w:val="0"/>
        <w:snapToGrid w:val="0"/>
        <w:spacing w:line="600" w:lineRule="exact"/>
        <w:jc w:val="left"/>
        <w:rPr>
          <w:rFonts w:hint="eastAsia" w:ascii="方正小标宋_GBK" w:hAnsi="方正小标宋_GBK" w:eastAsia="方正小标宋_GBK" w:cs="方正小标宋_GBK"/>
          <w:b w:val="0"/>
          <w:bCs/>
          <w:color w:val="000000"/>
          <w:kern w:val="0"/>
          <w:sz w:val="44"/>
          <w:szCs w:val="44"/>
          <w:highlight w:val="none"/>
        </w:rPr>
      </w:pPr>
      <w:r>
        <w:rPr>
          <w:rFonts w:hint="default" w:ascii="Times New Roman" w:hAnsi="Times New Roman" w:eastAsia="方正仿宋_GBK" w:cs="Times New Roman"/>
          <w:b w:val="0"/>
          <w:bCs/>
          <w:sz w:val="32"/>
          <w:szCs w:val="32"/>
          <w:highlight w:val="none"/>
        </w:rPr>
        <w:t>附</w:t>
      </w:r>
      <w:r>
        <w:rPr>
          <w:rFonts w:hint="default" w:ascii="Times New Roman" w:hAnsi="Times New Roman" w:eastAsia="方正仿宋_GBK" w:cs="Times New Roman"/>
          <w:b w:val="0"/>
          <w:bCs/>
          <w:sz w:val="32"/>
          <w:szCs w:val="32"/>
          <w:highlight w:val="none"/>
          <w:lang w:eastAsia="zh-CN"/>
        </w:rPr>
        <w:t>件</w:t>
      </w:r>
      <w:r>
        <w:rPr>
          <w:rFonts w:hint="eastAsia" w:ascii="Times New Roman" w:hAnsi="Times New Roman" w:eastAsia="方正仿宋_GBK" w:cs="Times New Roman"/>
          <w:b w:val="0"/>
          <w:bCs/>
          <w:sz w:val="32"/>
          <w:szCs w:val="32"/>
          <w:highlight w:val="none"/>
          <w:lang w:val="en-US" w:eastAsia="zh-CN"/>
        </w:rPr>
        <w:t>4</w:t>
      </w:r>
    </w:p>
    <w:p w14:paraId="2B59ABD6">
      <w:pPr>
        <w:keepNext w:val="0"/>
        <w:keepLines w:val="0"/>
        <w:pageBreakBefore w:val="0"/>
        <w:kinsoku/>
        <w:wordWrap/>
        <w:overflowPunct/>
        <w:topLinePunct w:val="0"/>
        <w:autoSpaceDE/>
        <w:autoSpaceDN/>
        <w:bidi w:val="0"/>
        <w:spacing w:line="600" w:lineRule="exact"/>
        <w:jc w:val="center"/>
        <w:rPr>
          <w:rFonts w:hint="default" w:ascii="Times New Roman" w:hAnsi="Times New Roman" w:eastAsia="方正仿宋_GBK" w:cs="Times New Roman"/>
          <w:b w:val="0"/>
          <w:bCs/>
          <w:sz w:val="32"/>
          <w:szCs w:val="32"/>
          <w:highlight w:val="none"/>
          <w:lang w:val="en-US" w:eastAsia="zh-CN"/>
        </w:rPr>
      </w:pPr>
      <w:r>
        <w:rPr>
          <w:rFonts w:hint="eastAsia" w:ascii="方正小标宋_GBK" w:hAnsi="方正小标宋_GBK" w:eastAsia="方正小标宋_GBK" w:cs="方正小标宋_GBK"/>
          <w:b w:val="0"/>
          <w:bCs/>
          <w:color w:val="000000"/>
          <w:kern w:val="0"/>
          <w:sz w:val="44"/>
          <w:szCs w:val="44"/>
          <w:highlight w:val="none"/>
        </w:rPr>
        <w:t>松树、松木及其制品检查抽样记录样表</w:t>
      </w:r>
    </w:p>
    <w:tbl>
      <w:tblPr>
        <w:tblStyle w:val="13"/>
        <w:tblW w:w="13888" w:type="dxa"/>
        <w:tblInd w:w="0" w:type="dxa"/>
        <w:tblLayout w:type="fixed"/>
        <w:tblCellMar>
          <w:top w:w="0" w:type="dxa"/>
          <w:left w:w="108" w:type="dxa"/>
          <w:bottom w:w="0" w:type="dxa"/>
          <w:right w:w="108" w:type="dxa"/>
        </w:tblCellMar>
      </w:tblPr>
      <w:tblGrid>
        <w:gridCol w:w="1388"/>
        <w:gridCol w:w="1388"/>
        <w:gridCol w:w="1389"/>
        <w:gridCol w:w="1389"/>
        <w:gridCol w:w="1389"/>
        <w:gridCol w:w="1389"/>
        <w:gridCol w:w="1389"/>
        <w:gridCol w:w="1389"/>
        <w:gridCol w:w="1389"/>
        <w:gridCol w:w="1389"/>
      </w:tblGrid>
      <w:tr w14:paraId="2AA4B265">
        <w:trPr>
          <w:trHeight w:val="283" w:hRule="exact"/>
        </w:trPr>
        <w:tc>
          <w:tcPr>
            <w:tcW w:w="13888" w:type="dxa"/>
            <w:gridSpan w:val="10"/>
            <w:tcBorders>
              <w:top w:val="nil"/>
              <w:left w:val="nil"/>
              <w:bottom w:val="nil"/>
              <w:right w:val="nil"/>
            </w:tcBorders>
            <w:shd w:val="clear" w:color="auto" w:fill="auto"/>
            <w:vAlign w:val="center"/>
          </w:tcPr>
          <w:p w14:paraId="301A307E">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b w:val="0"/>
                <w:bCs/>
                <w:color w:val="000000"/>
                <w:kern w:val="0"/>
                <w:sz w:val="32"/>
                <w:szCs w:val="32"/>
                <w:highlight w:val="none"/>
              </w:rPr>
            </w:pPr>
          </w:p>
        </w:tc>
      </w:tr>
      <w:tr w14:paraId="1786C94E">
        <w:tblPrEx>
          <w:tblCellMar>
            <w:top w:w="0" w:type="dxa"/>
            <w:left w:w="108" w:type="dxa"/>
            <w:bottom w:w="0" w:type="dxa"/>
            <w:right w:w="108" w:type="dxa"/>
          </w:tblCellMar>
        </w:tblPrEx>
        <w:trPr>
          <w:trHeight w:val="615" w:hRule="atLeast"/>
        </w:trPr>
        <w:tc>
          <w:tcPr>
            <w:tcW w:w="13888" w:type="dxa"/>
            <w:gridSpan w:val="10"/>
            <w:tcBorders>
              <w:top w:val="nil"/>
              <w:left w:val="nil"/>
              <w:bottom w:val="nil"/>
              <w:right w:val="nil"/>
            </w:tcBorders>
            <w:shd w:val="clear" w:color="auto" w:fill="auto"/>
            <w:vAlign w:val="center"/>
          </w:tcPr>
          <w:p w14:paraId="36612F36">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32"/>
                <w:szCs w:val="32"/>
                <w:highlight w:val="none"/>
                <w:u w:val="single"/>
              </w:rPr>
            </w:pP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lang w:val="en-US" w:eastAsia="zh-CN"/>
              </w:rPr>
              <w:t>州</w:t>
            </w:r>
            <w:r>
              <w:rPr>
                <w:rFonts w:hint="eastAsia" w:ascii="方正仿宋_GBK" w:hAnsi="方正仿宋_GBK" w:eastAsia="方正仿宋_GBK" w:cs="方正仿宋_GBK"/>
                <w:b w:val="0"/>
                <w:bCs/>
                <w:color w:val="000000"/>
                <w:kern w:val="0"/>
                <w:sz w:val="32"/>
                <w:szCs w:val="32"/>
                <w:highlight w:val="none"/>
              </w:rPr>
              <w:t xml:space="preserve">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rPr>
              <w:t xml:space="preserve"> 县（</w:t>
            </w:r>
            <w:r>
              <w:rPr>
                <w:rFonts w:hint="eastAsia" w:ascii="方正仿宋_GBK" w:hAnsi="方正仿宋_GBK" w:eastAsia="方正仿宋_GBK" w:cs="方正仿宋_GBK"/>
                <w:b w:val="0"/>
                <w:bCs/>
                <w:color w:val="000000"/>
                <w:kern w:val="0"/>
                <w:sz w:val="32"/>
                <w:szCs w:val="32"/>
                <w:highlight w:val="none"/>
                <w:lang w:val="en-US" w:eastAsia="zh-CN"/>
              </w:rPr>
              <w:t>市</w:t>
            </w:r>
            <w:r>
              <w:rPr>
                <w:rFonts w:hint="eastAsia" w:ascii="方正仿宋_GBK" w:hAnsi="方正仿宋_GBK" w:eastAsia="方正仿宋_GBK" w:cs="方正仿宋_GBK"/>
                <w:b w:val="0"/>
                <w:bCs/>
                <w:color w:val="000000"/>
                <w:kern w:val="0"/>
                <w:sz w:val="32"/>
                <w:szCs w:val="32"/>
                <w:highlight w:val="none"/>
              </w:rPr>
              <w:t>）</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u w:val="single"/>
                <w:lang w:val="en-US" w:eastAsia="zh-CN"/>
              </w:rPr>
              <w:t xml:space="preserve">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rPr>
              <w:t xml:space="preserve"> 检查站（检查地点）</w:t>
            </w:r>
          </w:p>
        </w:tc>
      </w:tr>
      <w:tr w14:paraId="1B8703BC">
        <w:tblPrEx>
          <w:tblCellMar>
            <w:top w:w="0" w:type="dxa"/>
            <w:left w:w="108" w:type="dxa"/>
            <w:bottom w:w="0" w:type="dxa"/>
            <w:right w:w="108" w:type="dxa"/>
          </w:tblCellMar>
        </w:tblPrEx>
        <w:trPr>
          <w:trHeight w:val="525" w:hRule="atLeast"/>
        </w:trPr>
        <w:tc>
          <w:tcPr>
            <w:tcW w:w="13888" w:type="dxa"/>
            <w:gridSpan w:val="10"/>
            <w:tcBorders>
              <w:top w:val="nil"/>
              <w:left w:val="nil"/>
              <w:bottom w:val="single" w:color="auto" w:sz="4" w:space="0"/>
              <w:right w:val="nil"/>
            </w:tcBorders>
            <w:shd w:val="clear" w:color="auto" w:fill="auto"/>
            <w:vAlign w:val="center"/>
          </w:tcPr>
          <w:p w14:paraId="6EDD73E5">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32"/>
                <w:szCs w:val="32"/>
                <w:highlight w:val="none"/>
              </w:rPr>
            </w:pPr>
            <w:r>
              <w:rPr>
                <w:rFonts w:hint="eastAsia" w:ascii="方正仿宋_GBK" w:hAnsi="方正仿宋_GBK" w:eastAsia="方正仿宋_GBK" w:cs="方正仿宋_GBK"/>
                <w:b w:val="0"/>
                <w:bCs/>
                <w:color w:val="000000"/>
                <w:kern w:val="0"/>
                <w:sz w:val="32"/>
                <w:szCs w:val="32"/>
                <w:highlight w:val="none"/>
              </w:rPr>
              <w:t xml:space="preserve">货物种类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u w:val="single"/>
                <w:lang w:val="en-US" w:eastAsia="zh-CN"/>
              </w:rPr>
              <w:t xml:space="preserve">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rPr>
              <w:t xml:space="preserve"> 数量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u w:val="single"/>
                <w:lang w:val="en-US" w:eastAsia="zh-CN"/>
              </w:rPr>
              <w:t xml:space="preserve">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rPr>
              <w:t xml:space="preserve"> 取样时间 </w:t>
            </w:r>
            <w:r>
              <w:rPr>
                <w:rFonts w:hint="eastAsia" w:ascii="方正仿宋_GBK" w:hAnsi="方正仿宋_GBK" w:eastAsia="方正仿宋_GBK" w:cs="方正仿宋_GBK"/>
                <w:b w:val="0"/>
                <w:bCs/>
                <w:color w:val="000000"/>
                <w:kern w:val="0"/>
                <w:sz w:val="32"/>
                <w:szCs w:val="32"/>
                <w:highlight w:val="none"/>
                <w:u w:val="single"/>
              </w:rPr>
              <w:t xml:space="preserve">            </w:t>
            </w:r>
            <w:r>
              <w:rPr>
                <w:rFonts w:hint="eastAsia" w:ascii="方正仿宋_GBK" w:hAnsi="方正仿宋_GBK" w:eastAsia="方正仿宋_GBK" w:cs="方正仿宋_GBK"/>
                <w:b w:val="0"/>
                <w:bCs/>
                <w:color w:val="000000"/>
                <w:kern w:val="0"/>
                <w:sz w:val="32"/>
                <w:szCs w:val="32"/>
                <w:highlight w:val="none"/>
                <w:u w:val="single"/>
                <w:lang w:val="en-US" w:eastAsia="zh-CN"/>
              </w:rPr>
              <w:t xml:space="preserve">    </w:t>
            </w:r>
            <w:r>
              <w:rPr>
                <w:rFonts w:hint="eastAsia" w:ascii="方正仿宋_GBK" w:hAnsi="方正仿宋_GBK" w:eastAsia="方正仿宋_GBK" w:cs="方正仿宋_GBK"/>
                <w:b w:val="0"/>
                <w:bCs/>
                <w:color w:val="000000"/>
                <w:kern w:val="0"/>
                <w:sz w:val="32"/>
                <w:szCs w:val="32"/>
                <w:highlight w:val="none"/>
                <w:u w:val="single"/>
              </w:rPr>
              <w:t xml:space="preserve">    </w:t>
            </w:r>
          </w:p>
        </w:tc>
      </w:tr>
      <w:tr w14:paraId="362CDB43">
        <w:tblPrEx>
          <w:tblCellMar>
            <w:top w:w="0" w:type="dxa"/>
            <w:left w:w="108" w:type="dxa"/>
            <w:bottom w:w="0" w:type="dxa"/>
            <w:right w:w="108" w:type="dxa"/>
          </w:tblCellMar>
        </w:tblPrEx>
        <w:trPr>
          <w:trHeight w:val="567" w:hRule="exact"/>
        </w:trPr>
        <w:tc>
          <w:tcPr>
            <w:tcW w:w="1388" w:type="dxa"/>
            <w:vMerge w:val="restart"/>
            <w:tcBorders>
              <w:top w:val="nil"/>
              <w:left w:val="single" w:color="auto" w:sz="4" w:space="0"/>
              <w:bottom w:val="single" w:color="auto" w:sz="4" w:space="0"/>
              <w:right w:val="single" w:color="auto" w:sz="4" w:space="0"/>
            </w:tcBorders>
            <w:shd w:val="clear" w:color="auto" w:fill="auto"/>
            <w:vAlign w:val="center"/>
          </w:tcPr>
          <w:p w14:paraId="396F61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序号</w:t>
            </w:r>
          </w:p>
        </w:tc>
        <w:tc>
          <w:tcPr>
            <w:tcW w:w="1388" w:type="dxa"/>
            <w:vMerge w:val="restart"/>
            <w:tcBorders>
              <w:top w:val="nil"/>
              <w:left w:val="single" w:color="auto" w:sz="4" w:space="0"/>
              <w:bottom w:val="single" w:color="auto" w:sz="4" w:space="0"/>
              <w:right w:val="single" w:color="auto" w:sz="4" w:space="0"/>
            </w:tcBorders>
            <w:shd w:val="clear" w:color="auto" w:fill="auto"/>
            <w:vAlign w:val="center"/>
          </w:tcPr>
          <w:p w14:paraId="165181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外部</w:t>
            </w:r>
          </w:p>
          <w:p w14:paraId="3D5563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症状</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311680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有无松褐</w:t>
            </w:r>
            <w:r>
              <w:rPr>
                <w:rFonts w:hint="eastAsia" w:ascii="方正仿宋_GBK" w:hAnsi="方正仿宋_GBK" w:eastAsia="方正仿宋_GBK" w:cs="方正仿宋_GBK"/>
                <w:b w:val="0"/>
                <w:bCs/>
                <w:color w:val="000000"/>
                <w:kern w:val="0"/>
                <w:sz w:val="28"/>
                <w:szCs w:val="28"/>
                <w:highlight w:val="none"/>
              </w:rPr>
              <w:br w:type="textWrapping"/>
            </w:r>
            <w:r>
              <w:rPr>
                <w:rFonts w:hint="eastAsia" w:ascii="方正仿宋_GBK" w:hAnsi="方正仿宋_GBK" w:eastAsia="方正仿宋_GBK" w:cs="方正仿宋_GBK"/>
                <w:b w:val="0"/>
                <w:bCs/>
                <w:color w:val="000000"/>
                <w:kern w:val="0"/>
                <w:sz w:val="28"/>
                <w:szCs w:val="28"/>
                <w:highlight w:val="none"/>
              </w:rPr>
              <w:t>天牛危害</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0465E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木材有</w:t>
            </w:r>
          </w:p>
          <w:p w14:paraId="0AB8B6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无蓝变</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64926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有无天</w:t>
            </w:r>
          </w:p>
          <w:p w14:paraId="43B449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牛蛹室</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188BDA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取样</w:t>
            </w:r>
          </w:p>
          <w:p w14:paraId="1D2D3A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部位</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7E8A09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取样</w:t>
            </w:r>
          </w:p>
          <w:p w14:paraId="4EE97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数量</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03C776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样品</w:t>
            </w:r>
          </w:p>
          <w:p w14:paraId="325475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编号</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708C87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采取的</w:t>
            </w:r>
            <w:r>
              <w:rPr>
                <w:rFonts w:hint="eastAsia" w:ascii="方正仿宋_GBK" w:hAnsi="方正仿宋_GBK" w:eastAsia="方正仿宋_GBK" w:cs="方正仿宋_GBK"/>
                <w:b w:val="0"/>
                <w:bCs/>
                <w:color w:val="000000"/>
                <w:kern w:val="0"/>
                <w:sz w:val="28"/>
                <w:szCs w:val="28"/>
                <w:highlight w:val="none"/>
              </w:rPr>
              <w:br w:type="textWrapping"/>
            </w:r>
            <w:r>
              <w:rPr>
                <w:rFonts w:hint="eastAsia" w:ascii="方正仿宋_GBK" w:hAnsi="方正仿宋_GBK" w:eastAsia="方正仿宋_GBK" w:cs="方正仿宋_GBK"/>
                <w:b w:val="0"/>
                <w:bCs/>
                <w:color w:val="000000"/>
                <w:kern w:val="0"/>
                <w:sz w:val="28"/>
                <w:szCs w:val="28"/>
                <w:highlight w:val="none"/>
              </w:rPr>
              <w:t>措施</w:t>
            </w:r>
          </w:p>
        </w:tc>
        <w:tc>
          <w:tcPr>
            <w:tcW w:w="1389" w:type="dxa"/>
            <w:vMerge w:val="restart"/>
            <w:tcBorders>
              <w:top w:val="nil"/>
              <w:left w:val="single" w:color="auto" w:sz="4" w:space="0"/>
              <w:bottom w:val="single" w:color="auto" w:sz="4" w:space="0"/>
              <w:right w:val="single" w:color="auto" w:sz="4" w:space="0"/>
            </w:tcBorders>
            <w:shd w:val="clear" w:color="auto" w:fill="auto"/>
            <w:vAlign w:val="center"/>
          </w:tcPr>
          <w:p w14:paraId="7CE8CC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备注</w:t>
            </w:r>
          </w:p>
        </w:tc>
      </w:tr>
      <w:tr w14:paraId="4E0E6AEC">
        <w:tblPrEx>
          <w:tblCellMar>
            <w:top w:w="0" w:type="dxa"/>
            <w:left w:w="108" w:type="dxa"/>
            <w:bottom w:w="0" w:type="dxa"/>
            <w:right w:w="108" w:type="dxa"/>
          </w:tblCellMar>
        </w:tblPrEx>
        <w:trPr>
          <w:trHeight w:val="465" w:hRule="atLeast"/>
        </w:trPr>
        <w:tc>
          <w:tcPr>
            <w:tcW w:w="1388" w:type="dxa"/>
            <w:vMerge w:val="continue"/>
            <w:tcBorders>
              <w:top w:val="nil"/>
              <w:left w:val="single" w:color="auto" w:sz="4" w:space="0"/>
              <w:bottom w:val="single" w:color="auto" w:sz="4" w:space="0"/>
              <w:right w:val="single" w:color="auto" w:sz="4" w:space="0"/>
            </w:tcBorders>
            <w:vAlign w:val="center"/>
          </w:tcPr>
          <w:p w14:paraId="61D492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8" w:type="dxa"/>
            <w:vMerge w:val="continue"/>
            <w:tcBorders>
              <w:top w:val="nil"/>
              <w:left w:val="single" w:color="auto" w:sz="4" w:space="0"/>
              <w:bottom w:val="single" w:color="auto" w:sz="4" w:space="0"/>
              <w:right w:val="single" w:color="auto" w:sz="4" w:space="0"/>
            </w:tcBorders>
            <w:vAlign w:val="center"/>
          </w:tcPr>
          <w:p w14:paraId="17547F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04B60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427FC9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7A04AE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4BEC36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026741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64AA1C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07B629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c>
          <w:tcPr>
            <w:tcW w:w="1389" w:type="dxa"/>
            <w:vMerge w:val="continue"/>
            <w:tcBorders>
              <w:top w:val="nil"/>
              <w:left w:val="single" w:color="auto" w:sz="4" w:space="0"/>
              <w:bottom w:val="single" w:color="auto" w:sz="4" w:space="0"/>
              <w:right w:val="single" w:color="auto" w:sz="4" w:space="0"/>
            </w:tcBorders>
            <w:vAlign w:val="center"/>
          </w:tcPr>
          <w:p w14:paraId="3293C8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方正仿宋_GBK" w:hAnsi="方正仿宋_GBK" w:eastAsia="方正仿宋_GBK" w:cs="方正仿宋_GBK"/>
                <w:b w:val="0"/>
                <w:bCs/>
                <w:color w:val="000000"/>
                <w:kern w:val="0"/>
                <w:sz w:val="28"/>
                <w:szCs w:val="28"/>
                <w:highlight w:val="none"/>
              </w:rPr>
            </w:pPr>
          </w:p>
        </w:tc>
      </w:tr>
      <w:tr w14:paraId="6CAEE23C">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44EB4C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合计</w:t>
            </w:r>
          </w:p>
        </w:tc>
        <w:tc>
          <w:tcPr>
            <w:tcW w:w="1388" w:type="dxa"/>
            <w:tcBorders>
              <w:top w:val="nil"/>
              <w:left w:val="nil"/>
              <w:bottom w:val="single" w:color="auto" w:sz="4" w:space="0"/>
              <w:right w:val="single" w:color="auto" w:sz="4" w:space="0"/>
            </w:tcBorders>
            <w:shd w:val="clear" w:color="auto" w:fill="auto"/>
            <w:vAlign w:val="center"/>
          </w:tcPr>
          <w:p w14:paraId="753964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617CFC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1616A3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895D1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7EB9E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F1B76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03473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636359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1C120E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05C7057F">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675B2C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1</w:t>
            </w:r>
          </w:p>
        </w:tc>
        <w:tc>
          <w:tcPr>
            <w:tcW w:w="1388" w:type="dxa"/>
            <w:tcBorders>
              <w:top w:val="nil"/>
              <w:left w:val="nil"/>
              <w:bottom w:val="single" w:color="auto" w:sz="4" w:space="0"/>
              <w:right w:val="single" w:color="auto" w:sz="4" w:space="0"/>
            </w:tcBorders>
            <w:shd w:val="clear" w:color="auto" w:fill="auto"/>
            <w:vAlign w:val="center"/>
          </w:tcPr>
          <w:p w14:paraId="49D0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5B6A3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15ECE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BA4B1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24FAC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ED629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BAB0E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8461E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3E571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6C90E353">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2C644C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2</w:t>
            </w:r>
          </w:p>
        </w:tc>
        <w:tc>
          <w:tcPr>
            <w:tcW w:w="1388" w:type="dxa"/>
            <w:tcBorders>
              <w:top w:val="nil"/>
              <w:left w:val="nil"/>
              <w:bottom w:val="single" w:color="auto" w:sz="4" w:space="0"/>
              <w:right w:val="single" w:color="auto" w:sz="4" w:space="0"/>
            </w:tcBorders>
            <w:shd w:val="clear" w:color="auto" w:fill="auto"/>
            <w:vAlign w:val="center"/>
          </w:tcPr>
          <w:p w14:paraId="2E00CC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856E9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3CFFE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5FF5D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609D82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961E8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B1D73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0EE1C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60C2C9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59C1EC55">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50E8CE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3</w:t>
            </w:r>
          </w:p>
        </w:tc>
        <w:tc>
          <w:tcPr>
            <w:tcW w:w="1388" w:type="dxa"/>
            <w:tcBorders>
              <w:top w:val="nil"/>
              <w:left w:val="nil"/>
              <w:bottom w:val="single" w:color="auto" w:sz="4" w:space="0"/>
              <w:right w:val="single" w:color="auto" w:sz="4" w:space="0"/>
            </w:tcBorders>
            <w:shd w:val="clear" w:color="auto" w:fill="auto"/>
            <w:vAlign w:val="center"/>
          </w:tcPr>
          <w:p w14:paraId="3A1770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18304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2F255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07C95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6463E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2E923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29DC8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4AFE8E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C75DF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496C92A5">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57C7A2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4</w:t>
            </w:r>
          </w:p>
        </w:tc>
        <w:tc>
          <w:tcPr>
            <w:tcW w:w="1388" w:type="dxa"/>
            <w:tcBorders>
              <w:top w:val="nil"/>
              <w:left w:val="nil"/>
              <w:bottom w:val="single" w:color="auto" w:sz="4" w:space="0"/>
              <w:right w:val="single" w:color="auto" w:sz="4" w:space="0"/>
            </w:tcBorders>
            <w:shd w:val="clear" w:color="auto" w:fill="auto"/>
            <w:vAlign w:val="center"/>
          </w:tcPr>
          <w:p w14:paraId="623E9D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3A1B0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62F86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1ACF8D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DF08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18BBF7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FEBF0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25755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B69C6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3F4129B3">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71AB54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5</w:t>
            </w:r>
          </w:p>
        </w:tc>
        <w:tc>
          <w:tcPr>
            <w:tcW w:w="1388" w:type="dxa"/>
            <w:tcBorders>
              <w:top w:val="nil"/>
              <w:left w:val="nil"/>
              <w:bottom w:val="single" w:color="auto" w:sz="4" w:space="0"/>
              <w:right w:val="single" w:color="auto" w:sz="4" w:space="0"/>
            </w:tcBorders>
            <w:shd w:val="clear" w:color="auto" w:fill="auto"/>
            <w:vAlign w:val="center"/>
          </w:tcPr>
          <w:p w14:paraId="56636A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6DA6D5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u w:val="single"/>
              </w:rPr>
            </w:pPr>
          </w:p>
        </w:tc>
        <w:tc>
          <w:tcPr>
            <w:tcW w:w="1389" w:type="dxa"/>
            <w:tcBorders>
              <w:top w:val="nil"/>
              <w:left w:val="nil"/>
              <w:bottom w:val="single" w:color="auto" w:sz="4" w:space="0"/>
              <w:right w:val="single" w:color="auto" w:sz="4" w:space="0"/>
            </w:tcBorders>
            <w:shd w:val="clear" w:color="auto" w:fill="auto"/>
            <w:vAlign w:val="center"/>
          </w:tcPr>
          <w:p w14:paraId="5B4869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D24E3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513CAB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453036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E95AE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8AA5A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90BFA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651E54F1">
        <w:tblPrEx>
          <w:tblCellMar>
            <w:top w:w="0" w:type="dxa"/>
            <w:left w:w="108" w:type="dxa"/>
            <w:bottom w:w="0" w:type="dxa"/>
            <w:right w:w="108" w:type="dxa"/>
          </w:tblCellMar>
        </w:tblPrEx>
        <w:trPr>
          <w:trHeight w:val="454" w:hRule="exact"/>
        </w:trPr>
        <w:tc>
          <w:tcPr>
            <w:tcW w:w="1388" w:type="dxa"/>
            <w:tcBorders>
              <w:top w:val="nil"/>
              <w:left w:val="single" w:color="auto" w:sz="4" w:space="0"/>
              <w:bottom w:val="single" w:color="auto" w:sz="4" w:space="0"/>
              <w:right w:val="single" w:color="auto" w:sz="4" w:space="0"/>
            </w:tcBorders>
            <w:shd w:val="clear" w:color="auto" w:fill="auto"/>
            <w:vAlign w:val="center"/>
          </w:tcPr>
          <w:p w14:paraId="7816ED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6</w:t>
            </w:r>
          </w:p>
        </w:tc>
        <w:tc>
          <w:tcPr>
            <w:tcW w:w="1388" w:type="dxa"/>
            <w:tcBorders>
              <w:top w:val="nil"/>
              <w:left w:val="nil"/>
              <w:bottom w:val="single" w:color="auto" w:sz="4" w:space="0"/>
              <w:right w:val="single" w:color="auto" w:sz="4" w:space="0"/>
            </w:tcBorders>
            <w:shd w:val="clear" w:color="auto" w:fill="auto"/>
            <w:vAlign w:val="center"/>
          </w:tcPr>
          <w:p w14:paraId="0BE67E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0FD3D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u w:val="single"/>
              </w:rPr>
            </w:pPr>
          </w:p>
        </w:tc>
        <w:tc>
          <w:tcPr>
            <w:tcW w:w="1389" w:type="dxa"/>
            <w:tcBorders>
              <w:top w:val="nil"/>
              <w:left w:val="nil"/>
              <w:bottom w:val="single" w:color="auto" w:sz="4" w:space="0"/>
              <w:right w:val="single" w:color="auto" w:sz="4" w:space="0"/>
            </w:tcBorders>
            <w:shd w:val="clear" w:color="auto" w:fill="auto"/>
            <w:vAlign w:val="center"/>
          </w:tcPr>
          <w:p w14:paraId="386886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0A9D0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231268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76EE13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46032F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4111B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c>
          <w:tcPr>
            <w:tcW w:w="1389" w:type="dxa"/>
            <w:tcBorders>
              <w:top w:val="nil"/>
              <w:left w:val="nil"/>
              <w:bottom w:val="single" w:color="auto" w:sz="4" w:space="0"/>
              <w:right w:val="single" w:color="auto" w:sz="4" w:space="0"/>
            </w:tcBorders>
            <w:shd w:val="clear" w:color="auto" w:fill="auto"/>
            <w:vAlign w:val="center"/>
          </w:tcPr>
          <w:p w14:paraId="32FB22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　</w:t>
            </w:r>
          </w:p>
        </w:tc>
      </w:tr>
      <w:tr w14:paraId="6C89F9B8">
        <w:tblPrEx>
          <w:tblCellMar>
            <w:top w:w="0" w:type="dxa"/>
            <w:left w:w="108" w:type="dxa"/>
            <w:bottom w:w="0" w:type="dxa"/>
            <w:right w:w="108" w:type="dxa"/>
          </w:tblCellMar>
        </w:tblPrEx>
        <w:trPr>
          <w:trHeight w:val="465" w:hRule="atLeast"/>
        </w:trPr>
        <w:tc>
          <w:tcPr>
            <w:tcW w:w="5554" w:type="dxa"/>
            <w:gridSpan w:val="4"/>
            <w:tcBorders>
              <w:top w:val="single" w:color="auto" w:sz="4" w:space="0"/>
              <w:left w:val="nil"/>
              <w:bottom w:val="nil"/>
              <w:right w:val="nil"/>
            </w:tcBorders>
            <w:shd w:val="clear" w:color="auto" w:fill="auto"/>
            <w:vAlign w:val="center"/>
          </w:tcPr>
          <w:p w14:paraId="1F10CCB5">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填表人：</w:t>
            </w:r>
          </w:p>
        </w:tc>
        <w:tc>
          <w:tcPr>
            <w:tcW w:w="8334" w:type="dxa"/>
            <w:gridSpan w:val="6"/>
            <w:tcBorders>
              <w:top w:val="single" w:color="auto" w:sz="4" w:space="0"/>
              <w:left w:val="nil"/>
              <w:bottom w:val="nil"/>
              <w:right w:val="nil"/>
            </w:tcBorders>
            <w:shd w:val="clear" w:color="auto" w:fill="auto"/>
            <w:vAlign w:val="center"/>
          </w:tcPr>
          <w:p w14:paraId="6B7DC727">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8"/>
                <w:szCs w:val="28"/>
                <w:highlight w:val="none"/>
              </w:rPr>
            </w:pPr>
            <w:r>
              <w:rPr>
                <w:rFonts w:hint="eastAsia" w:ascii="方正仿宋_GBK" w:hAnsi="方正仿宋_GBK" w:eastAsia="方正仿宋_GBK" w:cs="方正仿宋_GBK"/>
                <w:b w:val="0"/>
                <w:bCs/>
                <w:color w:val="000000"/>
                <w:kern w:val="0"/>
                <w:sz w:val="28"/>
                <w:szCs w:val="28"/>
                <w:highlight w:val="none"/>
              </w:rPr>
              <w:t>抽样时间：</w:t>
            </w:r>
          </w:p>
        </w:tc>
      </w:tr>
    </w:tbl>
    <w:p w14:paraId="0E53F194">
      <w:pPr>
        <w:keepNext w:val="0"/>
        <w:keepLines w:val="0"/>
        <w:pageBreakBefore w:val="0"/>
        <w:kinsoku/>
        <w:wordWrap/>
        <w:overflowPunct/>
        <w:topLinePunct w:val="0"/>
        <w:autoSpaceDE/>
        <w:autoSpaceDN/>
        <w:bidi w:val="0"/>
        <w:snapToGrid w:val="0"/>
        <w:spacing w:line="600" w:lineRule="exact"/>
        <w:jc w:val="left"/>
        <w:rPr>
          <w:rFonts w:hint="default" w:ascii="Times New Roman" w:hAnsi="Times New Roman" w:eastAsia="方正仿宋_GBK" w:cs="Times New Roman"/>
          <w:b w:val="0"/>
          <w:bCs/>
          <w:sz w:val="32"/>
          <w:szCs w:val="32"/>
          <w:highlight w:val="none"/>
        </w:rPr>
      </w:pPr>
    </w:p>
    <w:p w14:paraId="75B32A88">
      <w:pPr>
        <w:keepNext w:val="0"/>
        <w:keepLines w:val="0"/>
        <w:pageBreakBefore w:val="0"/>
        <w:kinsoku/>
        <w:wordWrap/>
        <w:overflowPunct/>
        <w:topLinePunct w:val="0"/>
        <w:autoSpaceDE/>
        <w:autoSpaceDN/>
        <w:bidi w:val="0"/>
        <w:snapToGrid w:val="0"/>
        <w:spacing w:line="600" w:lineRule="exact"/>
        <w:jc w:val="left"/>
        <w:rPr>
          <w:rFonts w:hint="eastAsia" w:ascii="方正小标宋_GBK" w:hAnsi="方正小标宋_GBK" w:eastAsia="方正小标宋_GBK" w:cs="方正小标宋_GBK"/>
          <w:b w:val="0"/>
          <w:bCs/>
          <w:color w:val="000000"/>
          <w:kern w:val="0"/>
          <w:sz w:val="44"/>
          <w:szCs w:val="44"/>
          <w:highlight w:val="none"/>
        </w:rPr>
      </w:pPr>
      <w:r>
        <w:rPr>
          <w:rFonts w:hint="default" w:ascii="Times New Roman" w:hAnsi="Times New Roman" w:eastAsia="方正仿宋_GBK" w:cs="Times New Roman"/>
          <w:b w:val="0"/>
          <w:bCs/>
          <w:sz w:val="32"/>
          <w:szCs w:val="32"/>
          <w:highlight w:val="none"/>
        </w:rPr>
        <w:t>附</w:t>
      </w:r>
      <w:r>
        <w:rPr>
          <w:rFonts w:hint="default" w:ascii="Times New Roman" w:hAnsi="Times New Roman" w:eastAsia="方正仿宋_GBK" w:cs="Times New Roman"/>
          <w:b w:val="0"/>
          <w:bCs/>
          <w:sz w:val="32"/>
          <w:szCs w:val="32"/>
          <w:highlight w:val="none"/>
          <w:lang w:eastAsia="zh-CN"/>
        </w:rPr>
        <w:t>件</w:t>
      </w:r>
      <w:r>
        <w:rPr>
          <w:rFonts w:hint="eastAsia" w:ascii="Times New Roman" w:hAnsi="Times New Roman" w:eastAsia="方正仿宋_GBK" w:cs="Times New Roman"/>
          <w:b w:val="0"/>
          <w:bCs/>
          <w:sz w:val="32"/>
          <w:szCs w:val="32"/>
          <w:highlight w:val="none"/>
          <w:lang w:val="en-US" w:eastAsia="zh-CN"/>
        </w:rPr>
        <w:t>5</w:t>
      </w:r>
    </w:p>
    <w:p w14:paraId="7A9B76EF">
      <w:pPr>
        <w:spacing w:line="620" w:lineRule="exact"/>
        <w:jc w:val="center"/>
        <w:rPr>
          <w:rFonts w:hint="eastAsia" w:ascii="方正小标宋_GBK" w:hAnsi="方正小标宋_GBK" w:eastAsia="方正小标宋_GBK" w:cs="方正小标宋_GBK"/>
          <w:b w:val="0"/>
          <w:bCs/>
          <w:sz w:val="44"/>
          <w:szCs w:val="44"/>
          <w:highlight w:val="none"/>
          <w:lang w:val="en-US" w:eastAsia="zh-CN"/>
        </w:rPr>
      </w:pPr>
      <w:r>
        <w:rPr>
          <w:rFonts w:hint="eastAsia" w:ascii="方正小标宋_GBK" w:hAnsi="方正小标宋_GBK" w:eastAsia="方正小标宋_GBK" w:cs="方正小标宋_GBK"/>
          <w:b w:val="0"/>
          <w:bCs/>
          <w:color w:val="000000"/>
          <w:kern w:val="0"/>
          <w:sz w:val="44"/>
          <w:szCs w:val="44"/>
          <w:highlight w:val="none"/>
        </w:rPr>
        <w:t>松材线虫病林业小班调查抽样记录样表</w:t>
      </w:r>
    </w:p>
    <w:tbl>
      <w:tblPr>
        <w:tblStyle w:val="13"/>
        <w:tblW w:w="13960" w:type="dxa"/>
        <w:tblInd w:w="0" w:type="dxa"/>
        <w:tblLayout w:type="fixed"/>
        <w:tblCellMar>
          <w:top w:w="0" w:type="dxa"/>
          <w:left w:w="108" w:type="dxa"/>
          <w:bottom w:w="0" w:type="dxa"/>
          <w:right w:w="108" w:type="dxa"/>
        </w:tblCellMar>
      </w:tblPr>
      <w:tblGrid>
        <w:gridCol w:w="1396"/>
        <w:gridCol w:w="1396"/>
        <w:gridCol w:w="1396"/>
        <w:gridCol w:w="1396"/>
        <w:gridCol w:w="1396"/>
        <w:gridCol w:w="1396"/>
        <w:gridCol w:w="1396"/>
        <w:gridCol w:w="1396"/>
        <w:gridCol w:w="1396"/>
        <w:gridCol w:w="1396"/>
      </w:tblGrid>
      <w:tr w14:paraId="53DE6DFB">
        <w:tblPrEx>
          <w:tblCellMar>
            <w:top w:w="0" w:type="dxa"/>
            <w:left w:w="108" w:type="dxa"/>
            <w:bottom w:w="0" w:type="dxa"/>
            <w:right w:w="108" w:type="dxa"/>
          </w:tblCellMar>
        </w:tblPrEx>
        <w:trPr>
          <w:trHeight w:val="283" w:hRule="exact"/>
        </w:trPr>
        <w:tc>
          <w:tcPr>
            <w:tcW w:w="13960" w:type="dxa"/>
            <w:gridSpan w:val="10"/>
            <w:tcBorders>
              <w:top w:val="nil"/>
              <w:left w:val="nil"/>
              <w:bottom w:val="nil"/>
              <w:right w:val="nil"/>
            </w:tcBorders>
            <w:shd w:val="clear" w:color="auto" w:fill="auto"/>
            <w:vAlign w:val="center"/>
          </w:tcPr>
          <w:p w14:paraId="433EB38A">
            <w:pPr>
              <w:keepNext w:val="0"/>
              <w:keepLines w:val="0"/>
              <w:widowControl/>
              <w:suppressLineNumbers w:val="0"/>
              <w:spacing w:before="0" w:beforeAutospacing="0" w:after="0" w:afterAutospacing="0"/>
              <w:ind w:left="0" w:right="0"/>
              <w:jc w:val="center"/>
              <w:rPr>
                <w:rFonts w:hint="default" w:ascii="黑体" w:hAnsi="黑体" w:eastAsia="黑体" w:cs="宋体"/>
                <w:b w:val="0"/>
                <w:bCs/>
                <w:color w:val="000000"/>
                <w:kern w:val="0"/>
                <w:sz w:val="28"/>
                <w:szCs w:val="28"/>
                <w:highlight w:val="none"/>
              </w:rPr>
            </w:pPr>
          </w:p>
        </w:tc>
      </w:tr>
      <w:tr w14:paraId="0D8AD7A1">
        <w:tblPrEx>
          <w:tblCellMar>
            <w:top w:w="0" w:type="dxa"/>
            <w:left w:w="108" w:type="dxa"/>
            <w:bottom w:w="0" w:type="dxa"/>
            <w:right w:w="108" w:type="dxa"/>
          </w:tblCellMar>
        </w:tblPrEx>
        <w:trPr>
          <w:trHeight w:val="454" w:hRule="exact"/>
        </w:trPr>
        <w:tc>
          <w:tcPr>
            <w:tcW w:w="13960" w:type="dxa"/>
            <w:gridSpan w:val="10"/>
            <w:tcBorders>
              <w:top w:val="nil"/>
              <w:left w:val="nil"/>
              <w:bottom w:val="nil"/>
              <w:right w:val="nil"/>
            </w:tcBorders>
            <w:shd w:val="clear" w:color="auto" w:fill="auto"/>
            <w:vAlign w:val="center"/>
          </w:tcPr>
          <w:p w14:paraId="6E4CEFAF">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1"/>
                <w:szCs w:val="21"/>
                <w:highlight w:val="none"/>
                <w:u w:val="single"/>
              </w:rPr>
            </w:pPr>
            <w:r>
              <w:rPr>
                <w:rFonts w:hint="eastAsia" w:ascii="方正仿宋_GBK" w:hAnsi="方正仿宋_GBK" w:eastAsia="方正仿宋_GBK" w:cs="方正仿宋_GBK"/>
                <w:b w:val="0"/>
                <w:bCs/>
                <w:color w:val="000000"/>
                <w:kern w:val="0"/>
                <w:sz w:val="21"/>
                <w:szCs w:val="21"/>
                <w:highlight w:val="none"/>
              </w:rPr>
              <w:t xml:space="preserve">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u w:val="single"/>
                <w:lang w:val="en-US" w:eastAsia="zh-CN"/>
              </w:rPr>
              <w:t xml:space="preserve">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rPr>
              <w:t xml:space="preserve"> 县（</w:t>
            </w:r>
            <w:r>
              <w:rPr>
                <w:rFonts w:hint="eastAsia" w:ascii="方正仿宋_GBK" w:hAnsi="方正仿宋_GBK" w:eastAsia="方正仿宋_GBK" w:cs="方正仿宋_GBK"/>
                <w:b w:val="0"/>
                <w:bCs/>
                <w:color w:val="000000"/>
                <w:kern w:val="0"/>
                <w:sz w:val="21"/>
                <w:szCs w:val="21"/>
                <w:highlight w:val="none"/>
                <w:lang w:val="en-US" w:eastAsia="zh-CN"/>
              </w:rPr>
              <w:t>市</w:t>
            </w:r>
            <w:r>
              <w:rPr>
                <w:rFonts w:hint="eastAsia" w:ascii="方正仿宋_GBK" w:hAnsi="方正仿宋_GBK" w:eastAsia="方正仿宋_GBK" w:cs="方正仿宋_GBK"/>
                <w:b w:val="0"/>
                <w:bCs/>
                <w:color w:val="000000"/>
                <w:kern w:val="0"/>
                <w:sz w:val="21"/>
                <w:szCs w:val="21"/>
                <w:highlight w:val="none"/>
              </w:rPr>
              <w:t>）</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u w:val="single"/>
                <w:lang w:val="en-US" w:eastAsia="zh-CN"/>
              </w:rPr>
              <w:t xml:space="preserve">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rPr>
              <w:t xml:space="preserve"> 乡（镇）、</w:t>
            </w:r>
            <w:r>
              <w:rPr>
                <w:rFonts w:hint="eastAsia" w:ascii="方正仿宋_GBK" w:hAnsi="方正仿宋_GBK" w:eastAsia="方正仿宋_GBK" w:cs="方正仿宋_GBK"/>
                <w:b w:val="0"/>
                <w:bCs/>
                <w:color w:val="000000"/>
                <w:kern w:val="0"/>
                <w:sz w:val="21"/>
                <w:szCs w:val="21"/>
                <w:highlight w:val="none"/>
                <w:lang w:val="en-US" w:eastAsia="zh-CN"/>
              </w:rPr>
              <w:t>保护区</w:t>
            </w:r>
            <w:r>
              <w:rPr>
                <w:rFonts w:hint="eastAsia" w:ascii="方正仿宋_GBK" w:hAnsi="方正仿宋_GBK" w:eastAsia="方正仿宋_GBK" w:cs="方正仿宋_GBK"/>
                <w:b w:val="0"/>
                <w:bCs/>
                <w:color w:val="000000"/>
                <w:kern w:val="0"/>
                <w:sz w:val="21"/>
                <w:szCs w:val="21"/>
                <w:highlight w:val="none"/>
              </w:rPr>
              <w:t xml:space="preserve">、林场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u w:val="single"/>
                <w:lang w:val="en-US" w:eastAsia="zh-CN"/>
              </w:rPr>
              <w:t xml:space="preserve">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rPr>
              <w:t xml:space="preserve"> 小地名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u w:val="single"/>
                <w:lang w:val="en-US" w:eastAsia="zh-CN"/>
              </w:rPr>
              <w:t xml:space="preserve">               </w:t>
            </w:r>
            <w:r>
              <w:rPr>
                <w:rFonts w:hint="eastAsia" w:ascii="方正仿宋_GBK" w:hAnsi="方正仿宋_GBK" w:eastAsia="方正仿宋_GBK" w:cs="方正仿宋_GBK"/>
                <w:b w:val="0"/>
                <w:bCs/>
                <w:color w:val="000000"/>
                <w:kern w:val="0"/>
                <w:sz w:val="21"/>
                <w:szCs w:val="21"/>
                <w:highlight w:val="none"/>
                <w:u w:val="single"/>
              </w:rPr>
              <w:t xml:space="preserve">  </w:t>
            </w:r>
            <w:r>
              <w:rPr>
                <w:rFonts w:hint="eastAsia" w:ascii="方正仿宋_GBK" w:hAnsi="方正仿宋_GBK" w:eastAsia="方正仿宋_GBK" w:cs="方正仿宋_GBK"/>
                <w:b w:val="0"/>
                <w:bCs/>
                <w:color w:val="000000"/>
                <w:kern w:val="0"/>
                <w:sz w:val="21"/>
                <w:szCs w:val="21"/>
                <w:highlight w:val="none"/>
              </w:rPr>
              <w:t>小班号</w:t>
            </w:r>
          </w:p>
        </w:tc>
      </w:tr>
      <w:tr w14:paraId="25412E17">
        <w:tblPrEx>
          <w:tblCellMar>
            <w:top w:w="0" w:type="dxa"/>
            <w:left w:w="108" w:type="dxa"/>
            <w:bottom w:w="0" w:type="dxa"/>
            <w:right w:w="108" w:type="dxa"/>
          </w:tblCellMar>
        </w:tblPrEx>
        <w:trPr>
          <w:trHeight w:val="454" w:hRule="exact"/>
        </w:trPr>
        <w:tc>
          <w:tcPr>
            <w:tcW w:w="13960" w:type="dxa"/>
            <w:gridSpan w:val="10"/>
            <w:tcBorders>
              <w:top w:val="nil"/>
              <w:left w:val="nil"/>
              <w:bottom w:val="nil"/>
              <w:right w:val="nil"/>
            </w:tcBorders>
            <w:shd w:val="clear" w:color="auto" w:fill="auto"/>
            <w:vAlign w:val="center"/>
          </w:tcPr>
          <w:p w14:paraId="0BB9B682">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color w:val="000000"/>
                <w:kern w:val="0"/>
                <w:sz w:val="21"/>
                <w:szCs w:val="21"/>
                <w:highlight w:val="none"/>
              </w:rPr>
            </w:pPr>
            <w:r>
              <w:rPr>
                <w:rFonts w:hint="eastAsia" w:ascii="方正仿宋_GBK" w:hAnsi="方正仿宋_GBK" w:eastAsia="方正仿宋_GBK" w:cs="方正仿宋_GBK"/>
                <w:color w:val="000000"/>
                <w:kern w:val="0"/>
                <w:sz w:val="21"/>
                <w:szCs w:val="21"/>
                <w:highlight w:val="none"/>
              </w:rPr>
              <w:t xml:space="preserve">面积（hm²）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权属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树种组成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每公顷株数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p>
        </w:tc>
      </w:tr>
      <w:tr w14:paraId="3F22EC84">
        <w:tblPrEx>
          <w:tblCellMar>
            <w:top w:w="0" w:type="dxa"/>
            <w:left w:w="108" w:type="dxa"/>
            <w:bottom w:w="0" w:type="dxa"/>
            <w:right w:w="108" w:type="dxa"/>
          </w:tblCellMar>
        </w:tblPrEx>
        <w:trPr>
          <w:trHeight w:val="454" w:hRule="exact"/>
        </w:trPr>
        <w:tc>
          <w:tcPr>
            <w:tcW w:w="13960" w:type="dxa"/>
            <w:gridSpan w:val="10"/>
            <w:tcBorders>
              <w:top w:val="nil"/>
              <w:left w:val="nil"/>
              <w:bottom w:val="single" w:color="auto" w:sz="4" w:space="0"/>
              <w:right w:val="nil"/>
            </w:tcBorders>
            <w:shd w:val="clear" w:color="auto" w:fill="auto"/>
            <w:vAlign w:val="center"/>
          </w:tcPr>
          <w:p w14:paraId="731ABF27">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color w:val="000000"/>
                <w:kern w:val="0"/>
                <w:sz w:val="21"/>
                <w:szCs w:val="21"/>
                <w:highlight w:val="none"/>
              </w:rPr>
            </w:pPr>
            <w:r>
              <w:rPr>
                <w:rFonts w:hint="eastAsia" w:ascii="方正仿宋_GBK" w:hAnsi="方正仿宋_GBK" w:eastAsia="方正仿宋_GBK" w:cs="方正仿宋_GBK"/>
                <w:color w:val="000000"/>
                <w:kern w:val="0"/>
                <w:sz w:val="21"/>
                <w:szCs w:val="21"/>
                <w:highlight w:val="none"/>
              </w:rPr>
              <w:t xml:space="preserve">松树平均树龄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可疑松树数量（株）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其他死树（株）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u w:val="single"/>
                <w:lang w:val="en-US" w:eastAsia="zh-CN"/>
              </w:rPr>
              <w:t xml:space="preserve">             </w:t>
            </w:r>
            <w:r>
              <w:rPr>
                <w:rFonts w:hint="eastAsia" w:ascii="方正仿宋_GBK" w:hAnsi="方正仿宋_GBK" w:eastAsia="方正仿宋_GBK" w:cs="方正仿宋_GBK"/>
                <w:color w:val="000000"/>
                <w:kern w:val="0"/>
                <w:sz w:val="21"/>
                <w:szCs w:val="21"/>
                <w:highlight w:val="none"/>
                <w:u w:val="single"/>
              </w:rPr>
              <w:t xml:space="preserve">   </w:t>
            </w:r>
            <w:r>
              <w:rPr>
                <w:rFonts w:hint="eastAsia" w:ascii="方正仿宋_GBK" w:hAnsi="方正仿宋_GBK" w:eastAsia="方正仿宋_GBK" w:cs="方正仿宋_GBK"/>
                <w:color w:val="000000"/>
                <w:kern w:val="0"/>
                <w:sz w:val="21"/>
                <w:szCs w:val="21"/>
                <w:highlight w:val="none"/>
              </w:rPr>
              <w:t xml:space="preserve"> </w:t>
            </w:r>
          </w:p>
        </w:tc>
      </w:tr>
      <w:tr w14:paraId="47BCC78B">
        <w:tblPrEx>
          <w:tblCellMar>
            <w:top w:w="0" w:type="dxa"/>
            <w:left w:w="108" w:type="dxa"/>
            <w:bottom w:w="0" w:type="dxa"/>
            <w:right w:w="108" w:type="dxa"/>
          </w:tblCellMar>
        </w:tblPrEx>
        <w:trPr>
          <w:trHeight w:val="465" w:hRule="atLeast"/>
        </w:trPr>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7A44F4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序号</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0BACBA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样品编号</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5FBE7E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取样日期</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1DE6BE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外部特征</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121452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有无松褐天牛危害</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6FC3DE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木材有无蓝变</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70FF3B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是否为优势木</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204DD3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整株或枝条表现症状</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2647D7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取样部位</w:t>
            </w:r>
          </w:p>
        </w:tc>
        <w:tc>
          <w:tcPr>
            <w:tcW w:w="1396" w:type="dxa"/>
            <w:vMerge w:val="restart"/>
            <w:tcBorders>
              <w:top w:val="nil"/>
              <w:left w:val="single" w:color="auto" w:sz="4" w:space="0"/>
              <w:bottom w:val="single" w:color="auto" w:sz="4" w:space="0"/>
              <w:right w:val="single" w:color="auto" w:sz="4" w:space="0"/>
            </w:tcBorders>
            <w:shd w:val="clear" w:color="auto" w:fill="auto"/>
            <w:vAlign w:val="center"/>
          </w:tcPr>
          <w:p w14:paraId="13B13E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备注</w:t>
            </w:r>
          </w:p>
        </w:tc>
      </w:tr>
      <w:tr w14:paraId="0EB2AE7D">
        <w:tblPrEx>
          <w:tblCellMar>
            <w:top w:w="0" w:type="dxa"/>
            <w:left w:w="108" w:type="dxa"/>
            <w:bottom w:w="0" w:type="dxa"/>
            <w:right w:w="108" w:type="dxa"/>
          </w:tblCellMar>
        </w:tblPrEx>
        <w:trPr>
          <w:trHeight w:val="465" w:hRule="atLeast"/>
        </w:trPr>
        <w:tc>
          <w:tcPr>
            <w:tcW w:w="1396" w:type="dxa"/>
            <w:vMerge w:val="continue"/>
            <w:tcBorders>
              <w:top w:val="nil"/>
              <w:left w:val="single" w:color="auto" w:sz="4" w:space="0"/>
              <w:bottom w:val="single" w:color="auto" w:sz="4" w:space="0"/>
              <w:right w:val="single" w:color="auto" w:sz="4" w:space="0"/>
            </w:tcBorders>
            <w:vAlign w:val="center"/>
          </w:tcPr>
          <w:p w14:paraId="34220E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1D1AF8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0096BB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4EAE43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17A829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7D8002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706FD1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53717E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04BD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vMerge w:val="continue"/>
            <w:tcBorders>
              <w:top w:val="nil"/>
              <w:left w:val="single" w:color="auto" w:sz="4" w:space="0"/>
              <w:bottom w:val="single" w:color="auto" w:sz="4" w:space="0"/>
              <w:right w:val="single" w:color="auto" w:sz="4" w:space="0"/>
            </w:tcBorders>
            <w:vAlign w:val="center"/>
          </w:tcPr>
          <w:p w14:paraId="2D84E0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5226FDDC">
        <w:tblPrEx>
          <w:tblCellMar>
            <w:top w:w="0" w:type="dxa"/>
            <w:left w:w="108" w:type="dxa"/>
            <w:bottom w:w="0" w:type="dxa"/>
            <w:right w:w="108" w:type="dxa"/>
          </w:tblCellMar>
        </w:tblPrEx>
        <w:trPr>
          <w:trHeight w:val="585" w:hRule="atLeast"/>
        </w:trPr>
        <w:tc>
          <w:tcPr>
            <w:tcW w:w="1396" w:type="dxa"/>
            <w:tcBorders>
              <w:top w:val="nil"/>
              <w:left w:val="single" w:color="auto" w:sz="4" w:space="0"/>
              <w:bottom w:val="single" w:color="auto" w:sz="4" w:space="0"/>
              <w:right w:val="single" w:color="auto" w:sz="4" w:space="0"/>
            </w:tcBorders>
            <w:shd w:val="clear" w:color="auto" w:fill="auto"/>
            <w:vAlign w:val="center"/>
          </w:tcPr>
          <w:p w14:paraId="3F2714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合计</w:t>
            </w:r>
          </w:p>
        </w:tc>
        <w:tc>
          <w:tcPr>
            <w:tcW w:w="1396" w:type="dxa"/>
            <w:tcBorders>
              <w:top w:val="nil"/>
              <w:left w:val="nil"/>
              <w:bottom w:val="single" w:color="auto" w:sz="4" w:space="0"/>
              <w:right w:val="single" w:color="auto" w:sz="4" w:space="0"/>
            </w:tcBorders>
            <w:shd w:val="clear" w:color="auto" w:fill="auto"/>
            <w:vAlign w:val="center"/>
          </w:tcPr>
          <w:p w14:paraId="222C44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6277F7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09EF22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D7FF2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5E8500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4F50C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0E27BA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A8F06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63530C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60D3D330">
        <w:tblPrEx>
          <w:tblCellMar>
            <w:top w:w="0" w:type="dxa"/>
            <w:left w:w="108" w:type="dxa"/>
            <w:bottom w:w="0" w:type="dxa"/>
            <w:right w:w="108" w:type="dxa"/>
          </w:tblCellMar>
        </w:tblPrEx>
        <w:trPr>
          <w:trHeight w:val="585" w:hRule="atLeast"/>
        </w:trPr>
        <w:tc>
          <w:tcPr>
            <w:tcW w:w="1396" w:type="dxa"/>
            <w:tcBorders>
              <w:top w:val="nil"/>
              <w:left w:val="single" w:color="auto" w:sz="4" w:space="0"/>
              <w:bottom w:val="single" w:color="auto" w:sz="4" w:space="0"/>
              <w:right w:val="single" w:color="auto" w:sz="4" w:space="0"/>
            </w:tcBorders>
            <w:shd w:val="clear" w:color="auto" w:fill="auto"/>
            <w:vAlign w:val="center"/>
          </w:tcPr>
          <w:p w14:paraId="25F01B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1</w:t>
            </w:r>
          </w:p>
        </w:tc>
        <w:tc>
          <w:tcPr>
            <w:tcW w:w="1396" w:type="dxa"/>
            <w:tcBorders>
              <w:top w:val="nil"/>
              <w:left w:val="nil"/>
              <w:bottom w:val="single" w:color="auto" w:sz="4" w:space="0"/>
              <w:right w:val="single" w:color="auto" w:sz="4" w:space="0"/>
            </w:tcBorders>
            <w:shd w:val="clear" w:color="auto" w:fill="auto"/>
            <w:vAlign w:val="center"/>
          </w:tcPr>
          <w:p w14:paraId="518EE2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00273E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3A51E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8AA6F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18F49F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859EE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19FDB9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03C78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528681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3AFE8169">
        <w:tblPrEx>
          <w:tblCellMar>
            <w:top w:w="0" w:type="dxa"/>
            <w:left w:w="108" w:type="dxa"/>
            <w:bottom w:w="0" w:type="dxa"/>
            <w:right w:w="108" w:type="dxa"/>
          </w:tblCellMar>
        </w:tblPrEx>
        <w:trPr>
          <w:trHeight w:val="584" w:hRule="atLeast"/>
        </w:trPr>
        <w:tc>
          <w:tcPr>
            <w:tcW w:w="1396" w:type="dxa"/>
            <w:tcBorders>
              <w:top w:val="nil"/>
              <w:left w:val="single" w:color="auto" w:sz="4" w:space="0"/>
              <w:bottom w:val="single" w:color="auto" w:sz="4" w:space="0"/>
              <w:right w:val="single" w:color="auto" w:sz="4" w:space="0"/>
            </w:tcBorders>
            <w:shd w:val="clear" w:color="auto" w:fill="auto"/>
            <w:vAlign w:val="center"/>
          </w:tcPr>
          <w:p w14:paraId="09F046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2</w:t>
            </w:r>
          </w:p>
        </w:tc>
        <w:tc>
          <w:tcPr>
            <w:tcW w:w="1396" w:type="dxa"/>
            <w:tcBorders>
              <w:top w:val="nil"/>
              <w:left w:val="nil"/>
              <w:bottom w:val="single" w:color="auto" w:sz="4" w:space="0"/>
              <w:right w:val="single" w:color="auto" w:sz="4" w:space="0"/>
            </w:tcBorders>
            <w:shd w:val="clear" w:color="auto" w:fill="auto"/>
            <w:vAlign w:val="center"/>
          </w:tcPr>
          <w:p w14:paraId="4ACC85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081F1E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2A36A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82162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7A43C0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0E514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77F9D2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CF0DF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473EE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6FB56D0F">
        <w:tblPrEx>
          <w:tblCellMar>
            <w:top w:w="0" w:type="dxa"/>
            <w:left w:w="108" w:type="dxa"/>
            <w:bottom w:w="0" w:type="dxa"/>
            <w:right w:w="108" w:type="dxa"/>
          </w:tblCellMar>
        </w:tblPrEx>
        <w:trPr>
          <w:trHeight w:val="585" w:hRule="atLeast"/>
        </w:trPr>
        <w:tc>
          <w:tcPr>
            <w:tcW w:w="1396" w:type="dxa"/>
            <w:tcBorders>
              <w:top w:val="nil"/>
              <w:left w:val="single" w:color="auto" w:sz="4" w:space="0"/>
              <w:bottom w:val="single" w:color="auto" w:sz="4" w:space="0"/>
              <w:right w:val="single" w:color="auto" w:sz="4" w:space="0"/>
            </w:tcBorders>
            <w:shd w:val="clear" w:color="auto" w:fill="auto"/>
            <w:vAlign w:val="center"/>
          </w:tcPr>
          <w:p w14:paraId="65E8A9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3</w:t>
            </w:r>
          </w:p>
        </w:tc>
        <w:tc>
          <w:tcPr>
            <w:tcW w:w="1396" w:type="dxa"/>
            <w:tcBorders>
              <w:top w:val="nil"/>
              <w:left w:val="nil"/>
              <w:bottom w:val="single" w:color="auto" w:sz="4" w:space="0"/>
              <w:right w:val="single" w:color="auto" w:sz="4" w:space="0"/>
            </w:tcBorders>
            <w:shd w:val="clear" w:color="auto" w:fill="auto"/>
            <w:vAlign w:val="center"/>
          </w:tcPr>
          <w:p w14:paraId="53683A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51B200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C9C62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584A2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817B7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6EF72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2A067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9AA38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543742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7E3F586D">
        <w:tblPrEx>
          <w:tblCellMar>
            <w:top w:w="0" w:type="dxa"/>
            <w:left w:w="108" w:type="dxa"/>
            <w:bottom w:w="0" w:type="dxa"/>
            <w:right w:w="108" w:type="dxa"/>
          </w:tblCellMar>
        </w:tblPrEx>
        <w:trPr>
          <w:trHeight w:val="585" w:hRule="atLeast"/>
        </w:trPr>
        <w:tc>
          <w:tcPr>
            <w:tcW w:w="1396" w:type="dxa"/>
            <w:tcBorders>
              <w:top w:val="nil"/>
              <w:left w:val="single" w:color="auto" w:sz="4" w:space="0"/>
              <w:bottom w:val="single" w:color="auto" w:sz="4" w:space="0"/>
              <w:right w:val="single" w:color="auto" w:sz="4" w:space="0"/>
            </w:tcBorders>
            <w:shd w:val="clear" w:color="auto" w:fill="auto"/>
            <w:vAlign w:val="center"/>
          </w:tcPr>
          <w:p w14:paraId="1D0B41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4</w:t>
            </w:r>
          </w:p>
        </w:tc>
        <w:tc>
          <w:tcPr>
            <w:tcW w:w="1396" w:type="dxa"/>
            <w:tcBorders>
              <w:top w:val="nil"/>
              <w:left w:val="nil"/>
              <w:bottom w:val="single" w:color="auto" w:sz="4" w:space="0"/>
              <w:right w:val="single" w:color="auto" w:sz="4" w:space="0"/>
            </w:tcBorders>
            <w:shd w:val="clear" w:color="auto" w:fill="auto"/>
            <w:vAlign w:val="center"/>
          </w:tcPr>
          <w:p w14:paraId="3A5C91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68CEA3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995B9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4ACE99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309E56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12687E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2C8661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1337E5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c>
          <w:tcPr>
            <w:tcW w:w="1396" w:type="dxa"/>
            <w:tcBorders>
              <w:top w:val="nil"/>
              <w:left w:val="nil"/>
              <w:bottom w:val="single" w:color="auto" w:sz="4" w:space="0"/>
              <w:right w:val="single" w:color="auto" w:sz="4" w:space="0"/>
            </w:tcBorders>
            <w:shd w:val="clear" w:color="auto" w:fill="auto"/>
            <w:vAlign w:val="center"/>
          </w:tcPr>
          <w:p w14:paraId="5A2AF9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方正仿宋_GBK" w:hAnsi="方正仿宋_GBK" w:eastAsia="方正仿宋_GBK" w:cs="方正仿宋_GBK"/>
                <w:b w:val="0"/>
                <w:bCs/>
                <w:color w:val="000000"/>
                <w:kern w:val="0"/>
                <w:sz w:val="21"/>
                <w:szCs w:val="21"/>
                <w:highlight w:val="none"/>
              </w:rPr>
            </w:pPr>
          </w:p>
        </w:tc>
      </w:tr>
      <w:tr w14:paraId="0D188A63">
        <w:tblPrEx>
          <w:tblCellMar>
            <w:top w:w="0" w:type="dxa"/>
            <w:left w:w="108" w:type="dxa"/>
            <w:bottom w:w="0" w:type="dxa"/>
            <w:right w:w="108" w:type="dxa"/>
          </w:tblCellMar>
        </w:tblPrEx>
        <w:trPr>
          <w:trHeight w:val="465" w:hRule="atLeast"/>
        </w:trPr>
        <w:tc>
          <w:tcPr>
            <w:tcW w:w="5584" w:type="dxa"/>
            <w:gridSpan w:val="4"/>
            <w:tcBorders>
              <w:top w:val="single" w:color="auto" w:sz="4" w:space="0"/>
              <w:left w:val="nil"/>
              <w:bottom w:val="nil"/>
              <w:right w:val="nil"/>
            </w:tcBorders>
            <w:shd w:val="clear" w:color="auto" w:fill="auto"/>
            <w:vAlign w:val="center"/>
          </w:tcPr>
          <w:p w14:paraId="7875B6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填表人：</w:t>
            </w:r>
          </w:p>
        </w:tc>
        <w:tc>
          <w:tcPr>
            <w:tcW w:w="8376" w:type="dxa"/>
            <w:gridSpan w:val="6"/>
            <w:tcBorders>
              <w:top w:val="single" w:color="auto" w:sz="4" w:space="0"/>
              <w:left w:val="nil"/>
              <w:bottom w:val="nil"/>
              <w:right w:val="nil"/>
            </w:tcBorders>
            <w:shd w:val="clear" w:color="auto" w:fill="auto"/>
            <w:vAlign w:val="center"/>
          </w:tcPr>
          <w:p w14:paraId="019AEC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方正仿宋_GBK" w:hAnsi="方正仿宋_GBK" w:eastAsia="方正仿宋_GBK" w:cs="方正仿宋_GBK"/>
                <w:b w:val="0"/>
                <w:bCs/>
                <w:color w:val="000000"/>
                <w:kern w:val="0"/>
                <w:sz w:val="21"/>
                <w:szCs w:val="21"/>
                <w:highlight w:val="none"/>
              </w:rPr>
            </w:pPr>
            <w:r>
              <w:rPr>
                <w:rFonts w:hint="eastAsia" w:ascii="方正仿宋_GBK" w:hAnsi="方正仿宋_GBK" w:eastAsia="方正仿宋_GBK" w:cs="方正仿宋_GBK"/>
                <w:b w:val="0"/>
                <w:bCs/>
                <w:color w:val="000000"/>
                <w:kern w:val="0"/>
                <w:sz w:val="21"/>
                <w:szCs w:val="21"/>
                <w:highlight w:val="none"/>
              </w:rPr>
              <w:t>抽样时间：</w:t>
            </w:r>
          </w:p>
        </w:tc>
      </w:tr>
    </w:tbl>
    <w:p w14:paraId="5996E71D">
      <w:pPr>
        <w:spacing w:line="620" w:lineRule="exact"/>
        <w:rPr>
          <w:rFonts w:hint="default" w:ascii="Times New Roman" w:hAnsi="Times New Roman" w:eastAsia="方正仿宋_GBK" w:cs="Times New Roman"/>
          <w:b w:val="0"/>
          <w:bCs/>
          <w:sz w:val="32"/>
          <w:szCs w:val="32"/>
          <w:highlight w:val="none"/>
        </w:rPr>
        <w:sectPr>
          <w:footerReference r:id="rId10" w:type="default"/>
          <w:footerReference r:id="rId11" w:type="even"/>
          <w:pgSz w:w="16838" w:h="11906" w:orient="landscape"/>
          <w:pgMar w:top="1701" w:right="1417" w:bottom="1701" w:left="1587" w:header="851" w:footer="1587" w:gutter="0"/>
          <w:pgNumType w:fmt="decimal"/>
          <w:cols w:space="0" w:num="1"/>
          <w:rtlGutter w:val="0"/>
          <w:docGrid w:type="lines" w:linePitch="327" w:charSpace="0"/>
        </w:sectPr>
      </w:pPr>
    </w:p>
    <w:p w14:paraId="0FC3AD2F">
      <w:pPr>
        <w:spacing w:line="620" w:lineRule="exact"/>
        <w:rPr>
          <w:rFonts w:hint="default" w:ascii="Times New Roman" w:hAnsi="Times New Roman" w:eastAsia="方正仿宋_GBK" w:cs="Times New Roman"/>
          <w:b w:val="0"/>
          <w:bCs/>
          <w:sz w:val="32"/>
          <w:szCs w:val="32"/>
          <w:highlight w:val="none"/>
          <w:lang w:val="en-US" w:eastAsia="zh-CN"/>
        </w:rPr>
      </w:pPr>
      <w:r>
        <w:rPr>
          <w:rFonts w:hint="default" w:ascii="Times New Roman" w:hAnsi="Times New Roman" w:eastAsia="方正仿宋_GBK" w:cs="Times New Roman"/>
          <w:b w:val="0"/>
          <w:bCs/>
          <w:sz w:val="32"/>
          <w:szCs w:val="32"/>
          <w:highlight w:val="none"/>
        </w:rPr>
        <w:t>附件</w:t>
      </w:r>
      <w:r>
        <w:rPr>
          <w:rFonts w:hint="eastAsia" w:ascii="Times New Roman" w:hAnsi="Times New Roman" w:eastAsia="方正仿宋_GBK" w:cs="Times New Roman"/>
          <w:b w:val="0"/>
          <w:bCs/>
          <w:sz w:val="32"/>
          <w:szCs w:val="32"/>
          <w:highlight w:val="none"/>
          <w:lang w:val="en-US" w:eastAsia="zh-CN"/>
        </w:rPr>
        <w:t>6</w:t>
      </w:r>
    </w:p>
    <w:p w14:paraId="2057A339">
      <w:pPr>
        <w:spacing w:line="620" w:lineRule="exact"/>
        <w:jc w:val="center"/>
        <w:rPr>
          <w:rFonts w:hint="default" w:ascii="Times New Roman" w:hAnsi="Times New Roman" w:eastAsia="方正仿宋_GBK" w:cs="Times New Roman"/>
          <w:b w:val="0"/>
          <w:bCs/>
          <w:sz w:val="32"/>
          <w:szCs w:val="32"/>
          <w:highlight w:val="none"/>
          <w:lang w:val="en-US" w:eastAsia="zh-CN"/>
        </w:rPr>
      </w:pPr>
      <w:r>
        <w:rPr>
          <w:rFonts w:hint="eastAsia" w:ascii="方正小标宋_GBK" w:hAnsi="方正小标宋_GBK" w:eastAsia="方正小标宋_GBK" w:cs="方正小标宋_GBK"/>
          <w:b w:val="0"/>
          <w:bCs/>
          <w:color w:val="000000"/>
          <w:kern w:val="0"/>
          <w:sz w:val="44"/>
          <w:szCs w:val="44"/>
          <w:highlight w:val="none"/>
        </w:rPr>
        <w:t>样品送检登记样表</w:t>
      </w:r>
    </w:p>
    <w:tbl>
      <w:tblPr>
        <w:tblStyle w:val="13"/>
        <w:tblW w:w="13900" w:type="dxa"/>
        <w:tblInd w:w="0" w:type="dxa"/>
        <w:tblLayout w:type="fixed"/>
        <w:tblCellMar>
          <w:top w:w="0" w:type="dxa"/>
          <w:left w:w="108" w:type="dxa"/>
          <w:bottom w:w="0" w:type="dxa"/>
          <w:right w:w="108" w:type="dxa"/>
        </w:tblCellMar>
      </w:tblPr>
      <w:tblGrid>
        <w:gridCol w:w="3475"/>
        <w:gridCol w:w="3475"/>
        <w:gridCol w:w="3475"/>
        <w:gridCol w:w="3475"/>
      </w:tblGrid>
      <w:tr w14:paraId="60F9CFA0">
        <w:tblPrEx>
          <w:tblCellMar>
            <w:top w:w="0" w:type="dxa"/>
            <w:left w:w="108" w:type="dxa"/>
            <w:bottom w:w="0" w:type="dxa"/>
            <w:right w:w="108" w:type="dxa"/>
          </w:tblCellMar>
        </w:tblPrEx>
        <w:trPr>
          <w:trHeight w:val="283" w:hRule="exact"/>
        </w:trPr>
        <w:tc>
          <w:tcPr>
            <w:tcW w:w="13900" w:type="dxa"/>
            <w:gridSpan w:val="4"/>
            <w:tcBorders>
              <w:top w:val="nil"/>
              <w:left w:val="nil"/>
              <w:bottom w:val="nil"/>
              <w:right w:val="nil"/>
            </w:tcBorders>
            <w:shd w:val="clear" w:color="auto" w:fill="auto"/>
            <w:vAlign w:val="center"/>
          </w:tcPr>
          <w:p w14:paraId="2413DF37">
            <w:pPr>
              <w:keepNext w:val="0"/>
              <w:keepLines w:val="0"/>
              <w:widowControl/>
              <w:suppressLineNumbers w:val="0"/>
              <w:spacing w:before="0" w:beforeAutospacing="0" w:after="0" w:afterAutospacing="0"/>
              <w:ind w:left="0" w:right="0"/>
              <w:jc w:val="center"/>
              <w:rPr>
                <w:rFonts w:hint="default" w:ascii="黑体" w:hAnsi="黑体" w:eastAsia="黑体" w:cs="宋体"/>
                <w:b w:val="0"/>
                <w:bCs/>
                <w:color w:val="000000"/>
                <w:kern w:val="0"/>
                <w:sz w:val="28"/>
                <w:szCs w:val="28"/>
                <w:highlight w:val="none"/>
              </w:rPr>
            </w:pPr>
          </w:p>
        </w:tc>
      </w:tr>
      <w:tr w14:paraId="770983F8">
        <w:tblPrEx>
          <w:tblCellMar>
            <w:top w:w="0" w:type="dxa"/>
            <w:left w:w="108" w:type="dxa"/>
            <w:bottom w:w="0" w:type="dxa"/>
            <w:right w:w="108" w:type="dxa"/>
          </w:tblCellMar>
        </w:tblPrEx>
        <w:trPr>
          <w:trHeight w:val="570" w:hRule="atLeast"/>
        </w:trPr>
        <w:tc>
          <w:tcPr>
            <w:tcW w:w="10425" w:type="dxa"/>
            <w:gridSpan w:val="3"/>
            <w:tcBorders>
              <w:top w:val="nil"/>
              <w:left w:val="nil"/>
              <w:bottom w:val="nil"/>
              <w:right w:val="nil"/>
            </w:tcBorders>
            <w:shd w:val="clear" w:color="auto" w:fill="auto"/>
            <w:vAlign w:val="center"/>
          </w:tcPr>
          <w:p w14:paraId="7B4FAE75">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送检单位：</w:t>
            </w:r>
          </w:p>
        </w:tc>
        <w:tc>
          <w:tcPr>
            <w:tcW w:w="3475" w:type="dxa"/>
            <w:tcBorders>
              <w:top w:val="nil"/>
              <w:left w:val="nil"/>
              <w:bottom w:val="nil"/>
              <w:right w:val="nil"/>
            </w:tcBorders>
            <w:shd w:val="clear" w:color="auto" w:fill="auto"/>
            <w:vAlign w:val="center"/>
          </w:tcPr>
          <w:p w14:paraId="541E3F66">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b w:val="0"/>
                <w:bCs/>
                <w:color w:val="000000"/>
                <w:kern w:val="0"/>
                <w:sz w:val="24"/>
                <w:szCs w:val="24"/>
                <w:highlight w:val="none"/>
              </w:rPr>
            </w:pPr>
            <w:r>
              <w:rPr>
                <w:rFonts w:hint="eastAsia" w:ascii="方正仿宋_GBK" w:hAnsi="方正仿宋_GBK" w:eastAsia="方正仿宋_GBK" w:cs="方正仿宋_GBK"/>
                <w:b w:val="0"/>
                <w:bCs/>
                <w:color w:val="000000"/>
                <w:kern w:val="0"/>
                <w:sz w:val="24"/>
                <w:szCs w:val="24"/>
                <w:highlight w:val="none"/>
              </w:rPr>
              <w:t xml:space="preserve">送检时间：                   </w:t>
            </w:r>
          </w:p>
        </w:tc>
      </w:tr>
      <w:tr w14:paraId="5EABFB91">
        <w:tblPrEx>
          <w:tblCellMar>
            <w:top w:w="0" w:type="dxa"/>
            <w:left w:w="108" w:type="dxa"/>
            <w:bottom w:w="0" w:type="dxa"/>
            <w:right w:w="108" w:type="dxa"/>
          </w:tblCellMar>
        </w:tblPrEx>
        <w:trPr>
          <w:trHeight w:val="570" w:hRule="atLeast"/>
        </w:trPr>
        <w:tc>
          <w:tcPr>
            <w:tcW w:w="13900" w:type="dxa"/>
            <w:gridSpan w:val="4"/>
            <w:tcBorders>
              <w:top w:val="nil"/>
              <w:left w:val="nil"/>
              <w:bottom w:val="single" w:color="auto" w:sz="4" w:space="0"/>
              <w:right w:val="nil"/>
            </w:tcBorders>
            <w:shd w:val="clear" w:color="auto" w:fill="auto"/>
            <w:vAlign w:val="center"/>
          </w:tcPr>
          <w:p w14:paraId="5D752FAE">
            <w:pPr>
              <w:keepNext w:val="0"/>
              <w:keepLines w:val="0"/>
              <w:widowControl/>
              <w:suppressLineNumbers w:val="0"/>
              <w:spacing w:before="0" w:beforeAutospacing="0" w:after="0" w:afterAutospacing="0"/>
              <w:ind w:left="0" w:right="0"/>
              <w:jc w:val="left"/>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送检人员（姓名及联系电话）：</w:t>
            </w:r>
          </w:p>
        </w:tc>
      </w:tr>
      <w:tr w14:paraId="455CE79A">
        <w:tblPrEx>
          <w:tblCellMar>
            <w:top w:w="0" w:type="dxa"/>
            <w:left w:w="108" w:type="dxa"/>
            <w:bottom w:w="0" w:type="dxa"/>
            <w:right w:w="108" w:type="dxa"/>
          </w:tblCellMar>
        </w:tblPrEx>
        <w:trPr>
          <w:trHeight w:val="570"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17588D16">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序号</w:t>
            </w:r>
          </w:p>
        </w:tc>
        <w:tc>
          <w:tcPr>
            <w:tcW w:w="3475" w:type="dxa"/>
            <w:tcBorders>
              <w:top w:val="single" w:color="auto" w:sz="4" w:space="0"/>
              <w:left w:val="nil"/>
              <w:bottom w:val="single" w:color="auto" w:sz="4" w:space="0"/>
              <w:right w:val="single" w:color="auto" w:sz="4" w:space="0"/>
            </w:tcBorders>
            <w:shd w:val="clear" w:color="auto" w:fill="auto"/>
            <w:vAlign w:val="center"/>
          </w:tcPr>
          <w:p w14:paraId="246B322B">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样品名称</w:t>
            </w:r>
          </w:p>
        </w:tc>
        <w:tc>
          <w:tcPr>
            <w:tcW w:w="3475" w:type="dxa"/>
            <w:tcBorders>
              <w:top w:val="single" w:color="auto" w:sz="4" w:space="0"/>
              <w:left w:val="nil"/>
              <w:bottom w:val="single" w:color="auto" w:sz="4" w:space="0"/>
              <w:right w:val="single" w:color="auto" w:sz="4" w:space="0"/>
            </w:tcBorders>
            <w:shd w:val="clear" w:color="auto" w:fill="auto"/>
            <w:vAlign w:val="center"/>
          </w:tcPr>
          <w:p w14:paraId="3F0FC4A9">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数量（份）</w:t>
            </w:r>
          </w:p>
        </w:tc>
        <w:tc>
          <w:tcPr>
            <w:tcW w:w="3475" w:type="dxa"/>
            <w:tcBorders>
              <w:top w:val="single" w:color="auto" w:sz="4" w:space="0"/>
              <w:left w:val="nil"/>
              <w:bottom w:val="single" w:color="auto" w:sz="4" w:space="0"/>
              <w:right w:val="single" w:color="auto" w:sz="4" w:space="0"/>
            </w:tcBorders>
            <w:shd w:val="clear" w:color="auto" w:fill="auto"/>
            <w:vAlign w:val="center"/>
          </w:tcPr>
          <w:p w14:paraId="7A33A663">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备注</w:t>
            </w:r>
          </w:p>
        </w:tc>
      </w:tr>
      <w:tr w14:paraId="7C03C2BA">
        <w:tblPrEx>
          <w:tblCellMar>
            <w:top w:w="0" w:type="dxa"/>
            <w:left w:w="108" w:type="dxa"/>
            <w:bottom w:w="0" w:type="dxa"/>
            <w:right w:w="108" w:type="dxa"/>
          </w:tblCellMar>
        </w:tblPrEx>
        <w:trPr>
          <w:trHeight w:val="540"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2F46037D">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合计</w:t>
            </w:r>
          </w:p>
        </w:tc>
        <w:tc>
          <w:tcPr>
            <w:tcW w:w="3475" w:type="dxa"/>
            <w:tcBorders>
              <w:top w:val="single" w:color="auto" w:sz="4" w:space="0"/>
              <w:left w:val="nil"/>
              <w:bottom w:val="single" w:color="auto" w:sz="4" w:space="0"/>
              <w:right w:val="single" w:color="auto" w:sz="4" w:space="0"/>
            </w:tcBorders>
            <w:shd w:val="clear" w:color="auto" w:fill="auto"/>
            <w:vAlign w:val="center"/>
          </w:tcPr>
          <w:p w14:paraId="6FDD973A">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6676FB54">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1B8115A3">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r>
      <w:tr w14:paraId="1A72EE5E">
        <w:tblPrEx>
          <w:tblCellMar>
            <w:top w:w="0" w:type="dxa"/>
            <w:left w:w="108" w:type="dxa"/>
            <w:bottom w:w="0" w:type="dxa"/>
            <w:right w:w="108" w:type="dxa"/>
          </w:tblCellMar>
        </w:tblPrEx>
        <w:trPr>
          <w:trHeight w:val="540"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60D9FA81">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1</w:t>
            </w:r>
          </w:p>
        </w:tc>
        <w:tc>
          <w:tcPr>
            <w:tcW w:w="3475" w:type="dxa"/>
            <w:tcBorders>
              <w:top w:val="single" w:color="auto" w:sz="4" w:space="0"/>
              <w:left w:val="nil"/>
              <w:bottom w:val="single" w:color="auto" w:sz="4" w:space="0"/>
              <w:right w:val="single" w:color="auto" w:sz="4" w:space="0"/>
            </w:tcBorders>
            <w:shd w:val="clear" w:color="auto" w:fill="auto"/>
            <w:vAlign w:val="center"/>
          </w:tcPr>
          <w:p w14:paraId="08B0D884">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松木圆盘</w:t>
            </w:r>
          </w:p>
        </w:tc>
        <w:tc>
          <w:tcPr>
            <w:tcW w:w="3475" w:type="dxa"/>
            <w:tcBorders>
              <w:top w:val="single" w:color="auto" w:sz="4" w:space="0"/>
              <w:left w:val="nil"/>
              <w:bottom w:val="single" w:color="auto" w:sz="4" w:space="0"/>
              <w:right w:val="single" w:color="auto" w:sz="4" w:space="0"/>
            </w:tcBorders>
            <w:shd w:val="clear" w:color="auto" w:fill="auto"/>
            <w:vAlign w:val="center"/>
          </w:tcPr>
          <w:p w14:paraId="66D348AB">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76F2B9C6">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r>
      <w:tr w14:paraId="0FEC4AC8">
        <w:tblPrEx>
          <w:tblCellMar>
            <w:top w:w="0" w:type="dxa"/>
            <w:left w:w="108" w:type="dxa"/>
            <w:bottom w:w="0" w:type="dxa"/>
            <w:right w:w="108" w:type="dxa"/>
          </w:tblCellMar>
        </w:tblPrEx>
        <w:trPr>
          <w:trHeight w:val="539"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7EE773A9">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2</w:t>
            </w:r>
          </w:p>
        </w:tc>
        <w:tc>
          <w:tcPr>
            <w:tcW w:w="3475" w:type="dxa"/>
            <w:tcBorders>
              <w:top w:val="single" w:color="auto" w:sz="4" w:space="0"/>
              <w:left w:val="nil"/>
              <w:bottom w:val="single" w:color="auto" w:sz="4" w:space="0"/>
              <w:right w:val="single" w:color="auto" w:sz="4" w:space="0"/>
            </w:tcBorders>
            <w:shd w:val="clear" w:color="auto" w:fill="auto"/>
            <w:vAlign w:val="center"/>
          </w:tcPr>
          <w:p w14:paraId="043DF41B">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松木木块、木屑</w:t>
            </w:r>
          </w:p>
        </w:tc>
        <w:tc>
          <w:tcPr>
            <w:tcW w:w="3475" w:type="dxa"/>
            <w:tcBorders>
              <w:top w:val="single" w:color="auto" w:sz="4" w:space="0"/>
              <w:left w:val="nil"/>
              <w:bottom w:val="single" w:color="auto" w:sz="4" w:space="0"/>
              <w:right w:val="single" w:color="auto" w:sz="4" w:space="0"/>
            </w:tcBorders>
            <w:shd w:val="clear" w:color="auto" w:fill="auto"/>
            <w:vAlign w:val="center"/>
          </w:tcPr>
          <w:p w14:paraId="6050467F">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4A6DDF74">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r>
      <w:tr w14:paraId="40A3DA94">
        <w:tblPrEx>
          <w:tblCellMar>
            <w:top w:w="0" w:type="dxa"/>
            <w:left w:w="108" w:type="dxa"/>
            <w:bottom w:w="0" w:type="dxa"/>
            <w:right w:w="108" w:type="dxa"/>
          </w:tblCellMar>
        </w:tblPrEx>
        <w:trPr>
          <w:trHeight w:val="539"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4BDFE58A">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3</w:t>
            </w:r>
          </w:p>
        </w:tc>
        <w:tc>
          <w:tcPr>
            <w:tcW w:w="3475" w:type="dxa"/>
            <w:tcBorders>
              <w:top w:val="single" w:color="auto" w:sz="4" w:space="0"/>
              <w:left w:val="nil"/>
              <w:bottom w:val="single" w:color="auto" w:sz="4" w:space="0"/>
              <w:right w:val="single" w:color="auto" w:sz="4" w:space="0"/>
            </w:tcBorders>
            <w:shd w:val="clear" w:color="auto" w:fill="auto"/>
            <w:vAlign w:val="center"/>
          </w:tcPr>
          <w:p w14:paraId="06F4CC6B">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松褐天牛</w:t>
            </w:r>
          </w:p>
        </w:tc>
        <w:tc>
          <w:tcPr>
            <w:tcW w:w="3475" w:type="dxa"/>
            <w:tcBorders>
              <w:top w:val="single" w:color="auto" w:sz="4" w:space="0"/>
              <w:left w:val="nil"/>
              <w:bottom w:val="single" w:color="auto" w:sz="4" w:space="0"/>
              <w:right w:val="single" w:color="auto" w:sz="4" w:space="0"/>
            </w:tcBorders>
            <w:shd w:val="clear" w:color="auto" w:fill="auto"/>
            <w:vAlign w:val="center"/>
          </w:tcPr>
          <w:p w14:paraId="3C936A3E">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7F67EB09">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r>
      <w:tr w14:paraId="11DD3158">
        <w:tblPrEx>
          <w:tblCellMar>
            <w:top w:w="0" w:type="dxa"/>
            <w:left w:w="108" w:type="dxa"/>
            <w:bottom w:w="0" w:type="dxa"/>
            <w:right w:w="108" w:type="dxa"/>
          </w:tblCellMar>
        </w:tblPrEx>
        <w:trPr>
          <w:trHeight w:val="540" w:hRule="atLeast"/>
        </w:trPr>
        <w:tc>
          <w:tcPr>
            <w:tcW w:w="3475" w:type="dxa"/>
            <w:tcBorders>
              <w:top w:val="single" w:color="auto" w:sz="4" w:space="0"/>
              <w:left w:val="single" w:color="auto" w:sz="4" w:space="0"/>
              <w:bottom w:val="single" w:color="auto" w:sz="4" w:space="0"/>
              <w:right w:val="single" w:color="auto" w:sz="4" w:space="0"/>
            </w:tcBorders>
            <w:shd w:val="clear" w:color="auto" w:fill="auto"/>
            <w:vAlign w:val="center"/>
          </w:tcPr>
          <w:p w14:paraId="6044124D">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4</w:t>
            </w:r>
          </w:p>
        </w:tc>
        <w:tc>
          <w:tcPr>
            <w:tcW w:w="3475" w:type="dxa"/>
            <w:tcBorders>
              <w:top w:val="single" w:color="auto" w:sz="4" w:space="0"/>
              <w:left w:val="nil"/>
              <w:bottom w:val="single" w:color="auto" w:sz="4" w:space="0"/>
              <w:right w:val="single" w:color="auto" w:sz="4" w:space="0"/>
            </w:tcBorders>
            <w:shd w:val="clear" w:color="auto" w:fill="auto"/>
            <w:vAlign w:val="center"/>
          </w:tcPr>
          <w:p w14:paraId="17D95853">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w:t>
            </w:r>
          </w:p>
        </w:tc>
        <w:tc>
          <w:tcPr>
            <w:tcW w:w="3475" w:type="dxa"/>
            <w:tcBorders>
              <w:top w:val="single" w:color="auto" w:sz="4" w:space="0"/>
              <w:left w:val="nil"/>
              <w:bottom w:val="single" w:color="auto" w:sz="4" w:space="0"/>
              <w:right w:val="single" w:color="auto" w:sz="4" w:space="0"/>
            </w:tcBorders>
            <w:shd w:val="clear" w:color="auto" w:fill="auto"/>
            <w:vAlign w:val="center"/>
          </w:tcPr>
          <w:p w14:paraId="4477ACB2">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c>
          <w:tcPr>
            <w:tcW w:w="3475" w:type="dxa"/>
            <w:tcBorders>
              <w:top w:val="single" w:color="auto" w:sz="4" w:space="0"/>
              <w:left w:val="nil"/>
              <w:bottom w:val="single" w:color="auto" w:sz="4" w:space="0"/>
              <w:right w:val="single" w:color="auto" w:sz="4" w:space="0"/>
            </w:tcBorders>
            <w:shd w:val="clear" w:color="auto" w:fill="auto"/>
            <w:vAlign w:val="center"/>
          </w:tcPr>
          <w:p w14:paraId="58DB1B0F">
            <w:pPr>
              <w:keepNext w:val="0"/>
              <w:keepLines w:val="0"/>
              <w:widowControl/>
              <w:suppressLineNumbers w:val="0"/>
              <w:spacing w:before="0" w:beforeAutospacing="0" w:after="0" w:afterAutospacing="0"/>
              <w:ind w:left="0" w:right="0"/>
              <w:jc w:val="center"/>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　</w:t>
            </w:r>
          </w:p>
        </w:tc>
      </w:tr>
    </w:tbl>
    <w:p w14:paraId="0DF4D2CB">
      <w:pPr>
        <w:pStyle w:val="2"/>
        <w:ind w:left="0" w:leftChars="0" w:firstLine="0" w:firstLineChars="0"/>
      </w:pPr>
    </w:p>
    <w:sectPr>
      <w:footerReference r:id="rId12" w:type="default"/>
      <w:footerReference r:id="rId13" w:type="even"/>
      <w:pgSz w:w="16838" w:h="11906" w:orient="landscape"/>
      <w:pgMar w:top="1701" w:right="1417" w:bottom="1701" w:left="1587" w:header="851" w:footer="1587" w:gutter="0"/>
      <w:pgNumType w:fmt="decimal"/>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C70AB">
    <w:pPr>
      <w:widowControl w:val="0"/>
      <w:spacing w:line="1" w:lineRule="exact"/>
    </w:pPr>
    <w:r>
      <w:rPr>
        <w:sz w:val="21"/>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59521F">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659521F">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mc:AlternateContent>
        <mc:Choice Requires="wps">
          <w:drawing>
            <wp:anchor distT="0" distB="0" distL="0" distR="0" simplePos="0" relativeHeight="251659264" behindDoc="0" locked="0" layoutInCell="1" allowOverlap="1">
              <wp:simplePos x="0" y="0"/>
              <wp:positionH relativeFrom="margin">
                <wp:align>inside</wp:align>
              </wp:positionH>
              <wp:positionV relativeFrom="page">
                <wp:posOffset>9723120</wp:posOffset>
              </wp:positionV>
              <wp:extent cx="673735" cy="118745"/>
              <wp:effectExtent l="0" t="0" r="0" b="0"/>
              <wp:wrapNone/>
              <wp:docPr id="56" name="Shape 56"/>
              <wp:cNvGraphicFramePr/>
              <a:graphic xmlns:a="http://schemas.openxmlformats.org/drawingml/2006/main">
                <a:graphicData uri="http://schemas.microsoft.com/office/word/2010/wordprocessingShape">
                  <wps:wsp>
                    <wps:cNvSpPr txBox="1"/>
                    <wps:spPr>
                      <a:xfrm>
                        <a:off x="0" y="0"/>
                        <a:ext cx="673735" cy="118745"/>
                      </a:xfrm>
                      <a:prstGeom prst="rect">
                        <a:avLst/>
                      </a:prstGeom>
                      <a:noFill/>
                    </wps:spPr>
                    <wps:txbx>
                      <w:txbxContent>
                        <w:p w14:paraId="352CCEA6">
                          <w:pPr>
                            <w:pStyle w:val="37"/>
                            <w:keepNext w:val="0"/>
                            <w:keepLines w:val="0"/>
                            <w:widowControl w:val="0"/>
                            <w:shd w:val="clear" w:color="auto" w:fill="auto"/>
                            <w:bidi w:val="0"/>
                            <w:spacing w:before="0" w:after="0" w:line="240" w:lineRule="auto"/>
                            <w:ind w:left="0" w:right="0" w:firstLine="0"/>
                            <w:jc w:val="left"/>
                          </w:pPr>
                        </w:p>
                      </w:txbxContent>
                    </wps:txbx>
                    <wps:bodyPr wrap="none" lIns="0" tIns="0" rIns="0" bIns="0">
                      <a:spAutoFit/>
                    </wps:bodyPr>
                  </wps:wsp>
                </a:graphicData>
              </a:graphic>
            </wp:anchor>
          </w:drawing>
        </mc:Choice>
        <mc:Fallback>
          <w:pict>
            <v:shape id="Shape 56" o:spid="_x0000_s1026" o:spt="202" type="#_x0000_t202" style="position:absolute;left:0pt;margin-top:765.6pt;height:9.35pt;width:53.05pt;mso-position-horizontal:inside;mso-position-horizontal-relative:margin;mso-position-vertical-relative:page;mso-wrap-style:none;z-index:251659264;mso-width-relative:page;mso-height-relative:page;" filled="f" stroked="f" coordsize="21600,21600" o:gfxdata="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ngeVW1QAA&#10;AAoBAAAPAAAAAAAAAAEAIAAAACIAAABkcnMvZG93bnJldi54bWxQSwECFAAUAAAACACHTuJAJEI6&#10;Ta8BAABxAwAADgAAAAAAAAABACAAAAAkAQAAZHJzL2Uyb0RvYy54bWxQSwUGAAAAAAYABgBZAQAA&#10;RQUAAAAA&#10;">
              <v:fill on="f" focussize="0,0"/>
              <v:stroke on="f"/>
              <v:imagedata o:title=""/>
              <o:lock v:ext="edit" aspectratio="f"/>
              <v:textbox inset="0mm,0mm,0mm,0mm" style="mso-fit-shape-to-text:t;">
                <w:txbxContent>
                  <w:p w14:paraId="352CCEA6">
                    <w:pPr>
                      <w:pStyle w:val="37"/>
                      <w:keepNext w:val="0"/>
                      <w:keepLines w:val="0"/>
                      <w:widowControl w:val="0"/>
                      <w:shd w:val="clear" w:color="auto" w:fill="auto"/>
                      <w:bidi w:val="0"/>
                      <w:spacing w:before="0" w:after="0" w:line="240" w:lineRule="auto"/>
                      <w:ind w:left="0" w:right="0" w:firstLine="0"/>
                      <w:jc w:val="left"/>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04386">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-847725</wp:posOffset>
              </wp:positionV>
              <wp:extent cx="1330960" cy="19367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330960" cy="1936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3CEA7B">
                          <w:pPr>
                            <w:pStyle w:val="8"/>
                            <w:ind w:firstLine="280" w:firstLineChars="100"/>
                            <w:rPr>
                              <w:rFonts w:hint="default" w:ascii="Times New Roman" w:hAnsi="Times New Roman" w:cs="Times New Roman" w:eastAsiaTheme="minorEastAsia"/>
                              <w:sz w:val="28"/>
                              <w:szCs w:val="2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6.75pt;height:15.25pt;width:104.8pt;mso-position-horizontal:outside;mso-position-horizontal-relative:margin;z-index:251662336;mso-width-relative:page;mso-height-relative:page;" filled="f" stroked="f" coordsize="21600,21600" o:gfxdata="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BX8vbYAAAACgEAAA8AAAAAAAAAAQAgAAAAIgAAAGRycy9kb3du&#10;cmV2LnhtbFBLAQIUABQAAAAIAIdO4kAvtyy+OAIAAGIEAAAOAAAAAAAAAAEAIAAAACcBAABkcnMv&#10;ZTJvRG9jLnhtbFBLBQYAAAAABgAGAFkBAADRBQAAAAA=&#10;">
              <v:fill on="f" focussize="0,0"/>
              <v:stroke on="f" weight="0.5pt"/>
              <v:imagedata o:title=""/>
              <o:lock v:ext="edit" aspectratio="f"/>
              <v:textbox inset="0mm,0mm,0mm,0mm">
                <w:txbxContent>
                  <w:p w14:paraId="443CEA7B">
                    <w:pPr>
                      <w:pStyle w:val="8"/>
                      <w:ind w:firstLine="280" w:firstLineChars="100"/>
                      <w:rPr>
                        <w:rFonts w:hint="default" w:ascii="Times New Roman" w:hAnsi="Times New Roman" w:cs="Times New Roman" w:eastAsiaTheme="minorEastAsia"/>
                        <w:sz w:val="28"/>
                        <w:szCs w:val="28"/>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42AAD">
    <w:pPr>
      <w:widowControl w:val="0"/>
      <w:spacing w:line="1" w:lineRule="exact"/>
    </w:pPr>
    <w:r>
      <mc:AlternateContent>
        <mc:Choice Requires="wps">
          <w:drawing>
            <wp:anchor distT="0" distB="0" distL="0" distR="0" simplePos="0" relativeHeight="251660288" behindDoc="0" locked="0" layoutInCell="1" allowOverlap="1">
              <wp:simplePos x="0" y="0"/>
              <wp:positionH relativeFrom="margin">
                <wp:align>outside</wp:align>
              </wp:positionH>
              <wp:positionV relativeFrom="page">
                <wp:posOffset>9723120</wp:posOffset>
              </wp:positionV>
              <wp:extent cx="673735" cy="118745"/>
              <wp:effectExtent l="0" t="0" r="0" b="0"/>
              <wp:wrapNone/>
              <wp:docPr id="8" name="Shape 56"/>
              <wp:cNvGraphicFramePr/>
              <a:graphic xmlns:a="http://schemas.openxmlformats.org/drawingml/2006/main">
                <a:graphicData uri="http://schemas.microsoft.com/office/word/2010/wordprocessingShape">
                  <wps:wsp>
                    <wps:cNvSpPr txBox="1"/>
                    <wps:spPr>
                      <a:xfrm>
                        <a:off x="0" y="0"/>
                        <a:ext cx="673735" cy="118745"/>
                      </a:xfrm>
                      <a:prstGeom prst="rect">
                        <a:avLst/>
                      </a:prstGeom>
                      <a:noFill/>
                    </wps:spPr>
                    <wps:txbx>
                      <w:txbxContent>
                        <w:p w14:paraId="34D81B8C">
                          <w:pPr>
                            <w:pStyle w:val="3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Shape 56" o:spid="_x0000_s1026" o:spt="202" type="#_x0000_t202" style="position:absolute;left:0pt;margin-top:765.6pt;height:9.35pt;width:53.05pt;mso-position-horizontal:outside;mso-position-horizontal-relative:margin;mso-position-vertical-relative:page;mso-wrap-style:none;z-index:251660288;mso-width-relative:page;mso-height-relative:page;" filled="f" stroked="f" coordsize="21600,21600" o:gfxdata="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eB5VbVAAAA&#10;CgEAAA8AAAAAAAAAAQAgAAAAIgAAAGRycy9kb3ducmV2LnhtbFBLAQIUABQAAAAIAIdO4kAuB6sd&#10;rgEAAHADAAAOAAAAAAAAAAEAIAAAACQBAABkcnMvZTJvRG9jLnhtbFBLBQYAAAAABgAGAFkBAABE&#10;BQAAAAA=&#10;">
              <v:fill on="f" focussize="0,0"/>
              <v:stroke on="f"/>
              <v:imagedata o:title=""/>
              <o:lock v:ext="edit" aspectratio="f"/>
              <v:textbox inset="0mm,0mm,0mm,0mm" style="mso-fit-shape-to-text:t;">
                <w:txbxContent>
                  <w:p w14:paraId="34D81B8C">
                    <w:pPr>
                      <w:pStyle w:val="3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lang w:val="en-US" w:eastAsia="en-US" w:bidi="en-US"/>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19560">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-847725</wp:posOffset>
              </wp:positionV>
              <wp:extent cx="1330960" cy="19367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330960" cy="1936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A6347">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6.75pt;height:15.25pt;width:104.8pt;mso-position-horizontal:outside;mso-position-horizontal-relative:margin;z-index:251664384;mso-width-relative:page;mso-height-relative:page;" filled="f" stroked="f" coordsize="21600,21600" o:gfxdata="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BX8vbYAAAACgEAAA8AAAAAAAAAAQAgAAAAIgAAAGRycy9kb3du&#10;cmV2LnhtbFBLAQIUABQAAAAIAIdO4kD491WHOAIAAGIEAAAOAAAAAAAAAAEAIAAAACcBAABkcnMv&#10;ZTJvRG9jLnhtbFBLBQYAAAAABgAGAFkBAADRBQAAAAA=&#10;">
              <v:fill on="f" focussize="0,0"/>
              <v:stroke on="f" weight="0.5pt"/>
              <v:imagedata o:title=""/>
              <o:lock v:ext="edit" aspectratio="f"/>
              <v:textbox inset="0mm,0mm,0mm,0mm">
                <w:txbxContent>
                  <w:p w14:paraId="25FA6347">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CA0E5">
    <w:pPr>
      <w:spacing w:line="201" w:lineRule="exact"/>
      <w:ind w:firstLine="4052"/>
      <w:rPr>
        <w:rFonts w:ascii="Arial" w:hAnsi="Arial" w:eastAsia="Arial" w:cs="Arial"/>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posOffset>8065135</wp:posOffset>
              </wp:positionH>
              <wp:positionV relativeFrom="paragraph">
                <wp:posOffset>75565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F21B3">
                          <w:pPr>
                            <w:pStyle w:val="8"/>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- 73 -</w:t>
                          </w:r>
                          <w:r>
                            <w:rPr>
                              <w:rFonts w:hint="eastAsia"/>
                              <w:sz w:val="28"/>
                              <w:szCs w:val="28"/>
                            </w:rPr>
                            <w:fldChar w:fldCharType="end"/>
                          </w:r>
                          <w:r>
                            <w:rPr>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635.05pt;margin-top:5.95pt;height:144pt;width:144pt;mso-position-horizontal-relative:margin;mso-wrap-style:none;z-index:251661312;mso-width-relative:page;mso-height-relative:page;" filled="f" stroked="f" coordsize="21600,21600" o:gfxdata="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YpVk2AAAAAw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14:paraId="757F21B3">
                    <w:pPr>
                      <w:pStyle w:val="8"/>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- 73 -</w:t>
                    </w:r>
                    <w:r>
                      <w:rPr>
                        <w:rFonts w:hint="eastAsia"/>
                        <w:sz w:val="28"/>
                        <w:szCs w:val="28"/>
                      </w:rPr>
                      <w:fldChar w:fldCharType="end"/>
                    </w:r>
                    <w:r>
                      <w:rPr>
                        <w:rFonts w:hint="eastAsia"/>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80E56">
    <w:pPr>
      <w:spacing w:line="201" w:lineRule="exact"/>
      <w:ind w:firstLine="4052"/>
      <w:rPr>
        <w:rFonts w:ascii="Arial" w:hAnsi="Arial" w:eastAsia="Arial" w:cs="Arial"/>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-104140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2B9C49">
                          <w:pPr>
                            <w:pStyle w:val="8"/>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- 73 -</w:t>
                          </w:r>
                          <w:r>
                            <w:rPr>
                              <w:rFonts w:hint="eastAsia"/>
                              <w:sz w:val="28"/>
                              <w:szCs w:val="28"/>
                            </w:rPr>
                            <w:fldChar w:fldCharType="end"/>
                          </w:r>
                          <w:r>
                            <w:rPr>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8.2pt;height:144pt;width:144pt;mso-position-horizontal:outside;mso-position-horizontal-relative:margin;mso-wrap-style:none;z-index:251665408;mso-width-relative:page;mso-height-relative:page;" filled="f" stroked="f" coordsize="21600,21600" o:gfxdata="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8+Jl3WAAAACAEAAA8AAAAAAAAAAQAgAAAAIgAAAGRycy9kb3ducmV2LnhtbFBLAQIUABQA&#10;AAAIAIdO4kAyUnG/KwIAAFcEAAAOAAAAAAAAAAEAIAAAACUBAABkcnMvZTJvRG9jLnhtbFBLBQYA&#10;AAAABgAGAFkBAADCBQAAAAA=&#10;">
              <v:fill on="f" focussize="0,0"/>
              <v:stroke on="f" weight="0.5pt"/>
              <v:imagedata o:title=""/>
              <o:lock v:ext="edit" aspectratio="f"/>
              <v:textbox inset="0mm,0mm,0mm,0mm" style="mso-fit-shape-to-text:t;">
                <w:txbxContent>
                  <w:p w14:paraId="1B2B9C49">
                    <w:pPr>
                      <w:pStyle w:val="8"/>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- 73 -</w:t>
                    </w:r>
                    <w:r>
                      <w:rPr>
                        <w:rFonts w:hint="eastAsia"/>
                        <w:sz w:val="28"/>
                        <w:szCs w:val="28"/>
                      </w:rPr>
                      <w:fldChar w:fldCharType="end"/>
                    </w:r>
                    <w:r>
                      <w:rPr>
                        <w:rFonts w:hint="eastAsia"/>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4D57B">
    <w:pPr>
      <w:pStyle w:val="8"/>
    </w:pPr>
    <w:r>
      <w:rPr>
        <w:sz w:val="18"/>
      </w:rPr>
      <mc:AlternateContent>
        <mc:Choice Requires="wps">
          <w:drawing>
            <wp:anchor distT="0" distB="0" distL="114300" distR="114300" simplePos="0" relativeHeight="251666432" behindDoc="0" locked="0" layoutInCell="1" allowOverlap="1">
              <wp:simplePos x="0" y="0"/>
              <wp:positionH relativeFrom="margin">
                <wp:posOffset>-635</wp:posOffset>
              </wp:positionH>
              <wp:positionV relativeFrom="paragraph">
                <wp:posOffset>115570</wp:posOffset>
              </wp:positionV>
              <wp:extent cx="1330960" cy="19367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330960" cy="1936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C7276A">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05pt;margin-top:9.1pt;height:15.25pt;width:104.8pt;mso-position-horizontal-relative:margin;z-index:251666432;mso-width-relative:page;mso-height-relative:page;" filled="f" stroked="f" coordsize="21600,21600" o:gfxdata="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9UZj/UAAAABwEAAA8AAAAAAAAAAQAgAAAAIgAAAGRycy9kb3ducmV2&#10;LnhtbFBLAQIUABQAAAAIAIdO4kDvj8pwOQIAAGQEAAAOAAAAAAAAAAEAIAAAACMBAABkcnMvZTJv&#10;RG9jLnhtbFBLBQYAAAAABgAGAFkBAADOBQAAAAA=&#10;">
              <v:fill on="f" focussize="0,0"/>
              <v:stroke on="f" weight="0.5pt"/>
              <v:imagedata o:title=""/>
              <o:lock v:ext="edit" aspectratio="f"/>
              <v:textbox inset="0mm,0mm,0mm,0mm">
                <w:txbxContent>
                  <w:p w14:paraId="21C7276A">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29BCF">
    <w:pPr>
      <w:pStyle w:val="8"/>
      <w:ind w:firstLine="12880" w:firstLineChars="46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p w14:paraId="7A9CC0F7">
    <w:pPr>
      <w:spacing w:line="201" w:lineRule="exact"/>
      <w:ind w:firstLine="4052"/>
      <w:rPr>
        <w:rFonts w:ascii="Arial" w:hAnsi="Arial" w:eastAsia="Arial" w:cs="Arial"/>
        <w:sz w:val="28"/>
        <w:szCs w:val="2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2512E">
    <w:pPr>
      <w:pStyle w:val="8"/>
      <w:ind w:firstLine="280" w:firstLineChars="100"/>
      <w:rPr>
        <w:rFonts w:hint="default" w:ascii="Times New Roman" w:hAnsi="Times New Roman" w:cs="Times New Roman" w:eastAsiaTheme="minorEastAsia"/>
        <w:sz w:val="28"/>
        <w:szCs w:val="28"/>
        <w:lang w:eastAsia="zh-CN"/>
      </w:rPr>
    </w:pPr>
    <w:r>
      <w:rPr>
        <w:sz w:val="2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ge">
                <wp:posOffset>9723120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2FE065">
                          <w:pPr>
                            <w:pStyle w:val="8"/>
                            <w:ind w:firstLine="280" w:firstLineChars="100"/>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765.6pt;height:144pt;width:144pt;mso-position-horizontal:outside;mso-position-horizontal-relative:margin;mso-position-vertical-relative:page;mso-wrap-style:none;z-index:251667456;mso-width-relative:page;mso-height-relative:page;" filled="f" stroked="f" coordsize="21600,21600" o:gfxdata="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g2g9NYAAAAKAQAADwAAAAAAAAABACAAAAAiAAAAZHJzL2Rvd25yZXYueG1s&#10;UEsBAhQAFAAAAAgAh07iQBFSExUzAgAAYwQAAA4AAAAAAAAAAQAgAAAAJQEAAGRycy9lMm9Eb2Mu&#10;eG1sUEsFBgAAAAAGAAYAWQEAAMoFAAAAAA==&#10;">
              <v:fill on="f" focussize="0,0"/>
              <v:stroke on="f" weight="0.5pt"/>
              <v:imagedata o:title=""/>
              <o:lock v:ext="edit" aspectratio="f"/>
              <v:textbox inset="0mm,0mm,0mm,0mm" style="mso-fit-shape-to-text:t;">
                <w:txbxContent>
                  <w:p w14:paraId="4B2FE065">
                    <w:pPr>
                      <w:pStyle w:val="8"/>
                      <w:ind w:firstLine="280" w:firstLineChars="100"/>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v:textbox>
            </v:shape>
          </w:pict>
        </mc:Fallback>
      </mc:AlternateContent>
    </w:r>
  </w:p>
  <w:p w14:paraId="19A4BA93">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p w14:paraId="7DD09826">
    <w:pPr>
      <w:pStyle w:val="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C1B29">
    <w:pPr>
      <w:spacing w:line="201" w:lineRule="exact"/>
      <w:ind w:firstLine="4052"/>
      <w:rPr>
        <w:rFonts w:ascii="Arial" w:hAnsi="Arial" w:eastAsia="Arial" w:cs="Arial"/>
        <w:sz w:val="28"/>
        <w:szCs w:val="2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A3F65">
    <w:pPr>
      <w:pStyle w:val="8"/>
      <w:ind w:firstLine="280" w:firstLineChars="100"/>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p w14:paraId="353A4D89">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784D2"/>
    <w:multiLevelType w:val="singleLevel"/>
    <w:tmpl w:val="AA7784D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evenAndOddHeaders w:val="1"/>
  <w:drawingGridHorizontalSpacing w:val="104"/>
  <w:drawingGridVerticalSpacing w:val="305"/>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0817"/>
    <w:rsid w:val="00055D9D"/>
    <w:rsid w:val="00062984"/>
    <w:rsid w:val="000637A4"/>
    <w:rsid w:val="00070CA6"/>
    <w:rsid w:val="00072111"/>
    <w:rsid w:val="00075000"/>
    <w:rsid w:val="000B42FE"/>
    <w:rsid w:val="000F0359"/>
    <w:rsid w:val="001439CB"/>
    <w:rsid w:val="001474A7"/>
    <w:rsid w:val="00155482"/>
    <w:rsid w:val="00167217"/>
    <w:rsid w:val="00172A27"/>
    <w:rsid w:val="00181ED8"/>
    <w:rsid w:val="001832A5"/>
    <w:rsid w:val="001906C8"/>
    <w:rsid w:val="00195FC5"/>
    <w:rsid w:val="001B654E"/>
    <w:rsid w:val="001C0427"/>
    <w:rsid w:val="00233FB6"/>
    <w:rsid w:val="002340DB"/>
    <w:rsid w:val="002471B6"/>
    <w:rsid w:val="002622C1"/>
    <w:rsid w:val="00263B75"/>
    <w:rsid w:val="00265270"/>
    <w:rsid w:val="00287503"/>
    <w:rsid w:val="00292C91"/>
    <w:rsid w:val="002A0AAA"/>
    <w:rsid w:val="002B785D"/>
    <w:rsid w:val="002C3B77"/>
    <w:rsid w:val="002C550F"/>
    <w:rsid w:val="002D2BE8"/>
    <w:rsid w:val="002D7B19"/>
    <w:rsid w:val="002F7E00"/>
    <w:rsid w:val="0030101B"/>
    <w:rsid w:val="00317651"/>
    <w:rsid w:val="00342179"/>
    <w:rsid w:val="00352F64"/>
    <w:rsid w:val="0036653D"/>
    <w:rsid w:val="003B09D7"/>
    <w:rsid w:val="003B583F"/>
    <w:rsid w:val="003B5F2D"/>
    <w:rsid w:val="003D1826"/>
    <w:rsid w:val="00410A89"/>
    <w:rsid w:val="00411379"/>
    <w:rsid w:val="0042262D"/>
    <w:rsid w:val="004774DD"/>
    <w:rsid w:val="00485CD5"/>
    <w:rsid w:val="004A708C"/>
    <w:rsid w:val="004B41DE"/>
    <w:rsid w:val="004B58FC"/>
    <w:rsid w:val="004E0363"/>
    <w:rsid w:val="004E3B11"/>
    <w:rsid w:val="005130D7"/>
    <w:rsid w:val="00523372"/>
    <w:rsid w:val="00525DA1"/>
    <w:rsid w:val="005671FB"/>
    <w:rsid w:val="005B146F"/>
    <w:rsid w:val="005B1471"/>
    <w:rsid w:val="005B341D"/>
    <w:rsid w:val="005B7760"/>
    <w:rsid w:val="005C27EB"/>
    <w:rsid w:val="005D19AF"/>
    <w:rsid w:val="005D31C7"/>
    <w:rsid w:val="005D60A4"/>
    <w:rsid w:val="005E5097"/>
    <w:rsid w:val="006004E6"/>
    <w:rsid w:val="00601865"/>
    <w:rsid w:val="0062714F"/>
    <w:rsid w:val="00632A84"/>
    <w:rsid w:val="0063650B"/>
    <w:rsid w:val="006526D8"/>
    <w:rsid w:val="00672615"/>
    <w:rsid w:val="00676E75"/>
    <w:rsid w:val="0069235F"/>
    <w:rsid w:val="006A63F6"/>
    <w:rsid w:val="006B25FC"/>
    <w:rsid w:val="006C6B39"/>
    <w:rsid w:val="006D3C1E"/>
    <w:rsid w:val="006F3BDA"/>
    <w:rsid w:val="0070424F"/>
    <w:rsid w:val="00731B37"/>
    <w:rsid w:val="00752668"/>
    <w:rsid w:val="00770865"/>
    <w:rsid w:val="0078069B"/>
    <w:rsid w:val="007857A9"/>
    <w:rsid w:val="00791FC4"/>
    <w:rsid w:val="007E5E71"/>
    <w:rsid w:val="00800E9C"/>
    <w:rsid w:val="00801E8A"/>
    <w:rsid w:val="008132C1"/>
    <w:rsid w:val="00815EDE"/>
    <w:rsid w:val="00853233"/>
    <w:rsid w:val="00856E66"/>
    <w:rsid w:val="00866CE9"/>
    <w:rsid w:val="0087258C"/>
    <w:rsid w:val="008A316A"/>
    <w:rsid w:val="008C00D5"/>
    <w:rsid w:val="008C20EA"/>
    <w:rsid w:val="008C2E51"/>
    <w:rsid w:val="008E3B0A"/>
    <w:rsid w:val="008E4B49"/>
    <w:rsid w:val="008F0B09"/>
    <w:rsid w:val="008F5557"/>
    <w:rsid w:val="009008FF"/>
    <w:rsid w:val="00902964"/>
    <w:rsid w:val="00906254"/>
    <w:rsid w:val="00921E6B"/>
    <w:rsid w:val="00940347"/>
    <w:rsid w:val="00966B53"/>
    <w:rsid w:val="00967E71"/>
    <w:rsid w:val="00975134"/>
    <w:rsid w:val="009B2B8F"/>
    <w:rsid w:val="00A027FB"/>
    <w:rsid w:val="00A06688"/>
    <w:rsid w:val="00A4091C"/>
    <w:rsid w:val="00A410CD"/>
    <w:rsid w:val="00A637D1"/>
    <w:rsid w:val="00A73CB5"/>
    <w:rsid w:val="00A82F08"/>
    <w:rsid w:val="00AA4E09"/>
    <w:rsid w:val="00AD4B53"/>
    <w:rsid w:val="00AD5E00"/>
    <w:rsid w:val="00AE2A36"/>
    <w:rsid w:val="00AF5350"/>
    <w:rsid w:val="00B01DC9"/>
    <w:rsid w:val="00B044C6"/>
    <w:rsid w:val="00B04F30"/>
    <w:rsid w:val="00B17AF4"/>
    <w:rsid w:val="00B35420"/>
    <w:rsid w:val="00B463A4"/>
    <w:rsid w:val="00B4780E"/>
    <w:rsid w:val="00B53C74"/>
    <w:rsid w:val="00B60D3A"/>
    <w:rsid w:val="00B83E5C"/>
    <w:rsid w:val="00B84FBC"/>
    <w:rsid w:val="00B9518D"/>
    <w:rsid w:val="00BB65AA"/>
    <w:rsid w:val="00C10A80"/>
    <w:rsid w:val="00C207E4"/>
    <w:rsid w:val="00C301D7"/>
    <w:rsid w:val="00C532AE"/>
    <w:rsid w:val="00C67CE1"/>
    <w:rsid w:val="00C67F6A"/>
    <w:rsid w:val="00C71532"/>
    <w:rsid w:val="00C938DB"/>
    <w:rsid w:val="00C96B50"/>
    <w:rsid w:val="00CA4B41"/>
    <w:rsid w:val="00CD210D"/>
    <w:rsid w:val="00D312BC"/>
    <w:rsid w:val="00D56381"/>
    <w:rsid w:val="00D61D85"/>
    <w:rsid w:val="00D7218E"/>
    <w:rsid w:val="00D750AB"/>
    <w:rsid w:val="00DA3061"/>
    <w:rsid w:val="00DC127A"/>
    <w:rsid w:val="00DC6526"/>
    <w:rsid w:val="00E10FF5"/>
    <w:rsid w:val="00E413EF"/>
    <w:rsid w:val="00E7024D"/>
    <w:rsid w:val="00E75E97"/>
    <w:rsid w:val="00EA020C"/>
    <w:rsid w:val="00EA6234"/>
    <w:rsid w:val="00EB6F7D"/>
    <w:rsid w:val="00EC363A"/>
    <w:rsid w:val="00EC6ADE"/>
    <w:rsid w:val="00ED60DA"/>
    <w:rsid w:val="00F022CC"/>
    <w:rsid w:val="00F374EA"/>
    <w:rsid w:val="00F40C6E"/>
    <w:rsid w:val="00F6414C"/>
    <w:rsid w:val="00F64AB2"/>
    <w:rsid w:val="00F80951"/>
    <w:rsid w:val="00FA7E37"/>
    <w:rsid w:val="00FD0F5E"/>
    <w:rsid w:val="00FD1987"/>
    <w:rsid w:val="00FD3F84"/>
    <w:rsid w:val="00FE4AD2"/>
    <w:rsid w:val="00FF7F08"/>
    <w:rsid w:val="011354EA"/>
    <w:rsid w:val="013D7E33"/>
    <w:rsid w:val="014B6D28"/>
    <w:rsid w:val="016A2185"/>
    <w:rsid w:val="018B4E82"/>
    <w:rsid w:val="019503A6"/>
    <w:rsid w:val="01AF28F2"/>
    <w:rsid w:val="01AF6A78"/>
    <w:rsid w:val="01B21944"/>
    <w:rsid w:val="01BC7DFD"/>
    <w:rsid w:val="01DD32D2"/>
    <w:rsid w:val="01E17202"/>
    <w:rsid w:val="01F151F3"/>
    <w:rsid w:val="02014572"/>
    <w:rsid w:val="02243444"/>
    <w:rsid w:val="0225777A"/>
    <w:rsid w:val="025821B9"/>
    <w:rsid w:val="02700456"/>
    <w:rsid w:val="02CC6888"/>
    <w:rsid w:val="02D17F7D"/>
    <w:rsid w:val="03042C84"/>
    <w:rsid w:val="031061D2"/>
    <w:rsid w:val="032955AF"/>
    <w:rsid w:val="033F656D"/>
    <w:rsid w:val="03AB3E1C"/>
    <w:rsid w:val="03F641E1"/>
    <w:rsid w:val="04065DDF"/>
    <w:rsid w:val="0411772A"/>
    <w:rsid w:val="045F151D"/>
    <w:rsid w:val="046736F5"/>
    <w:rsid w:val="04930BDB"/>
    <w:rsid w:val="04972D2B"/>
    <w:rsid w:val="04A62BF6"/>
    <w:rsid w:val="04B313DF"/>
    <w:rsid w:val="04C0016D"/>
    <w:rsid w:val="0504566B"/>
    <w:rsid w:val="050714B7"/>
    <w:rsid w:val="05AF3A4F"/>
    <w:rsid w:val="05B552A4"/>
    <w:rsid w:val="05E247D3"/>
    <w:rsid w:val="0601539C"/>
    <w:rsid w:val="06147B2F"/>
    <w:rsid w:val="061B2888"/>
    <w:rsid w:val="06B11980"/>
    <w:rsid w:val="06D37CB6"/>
    <w:rsid w:val="06D56561"/>
    <w:rsid w:val="06E117A3"/>
    <w:rsid w:val="06E21A5D"/>
    <w:rsid w:val="06EA2FDF"/>
    <w:rsid w:val="06EC57A8"/>
    <w:rsid w:val="07322259"/>
    <w:rsid w:val="0736468C"/>
    <w:rsid w:val="073811C0"/>
    <w:rsid w:val="073C7FDB"/>
    <w:rsid w:val="073E2350"/>
    <w:rsid w:val="075D64A2"/>
    <w:rsid w:val="07B6296E"/>
    <w:rsid w:val="08000557"/>
    <w:rsid w:val="081E659A"/>
    <w:rsid w:val="086510B9"/>
    <w:rsid w:val="087F5119"/>
    <w:rsid w:val="089473EC"/>
    <w:rsid w:val="089F1D4D"/>
    <w:rsid w:val="08B7281A"/>
    <w:rsid w:val="08BB0862"/>
    <w:rsid w:val="09286893"/>
    <w:rsid w:val="09690029"/>
    <w:rsid w:val="099E62D5"/>
    <w:rsid w:val="09A576BF"/>
    <w:rsid w:val="09A764AB"/>
    <w:rsid w:val="09DB7149"/>
    <w:rsid w:val="09EE6E54"/>
    <w:rsid w:val="0A3208AE"/>
    <w:rsid w:val="0A886AAF"/>
    <w:rsid w:val="0A8A6ED0"/>
    <w:rsid w:val="0A9A4ADE"/>
    <w:rsid w:val="0A9B3FC7"/>
    <w:rsid w:val="0AFA4A67"/>
    <w:rsid w:val="0B512D58"/>
    <w:rsid w:val="0B5A411F"/>
    <w:rsid w:val="0B5A6432"/>
    <w:rsid w:val="0B5C4D15"/>
    <w:rsid w:val="0BA06A8E"/>
    <w:rsid w:val="0BAB2196"/>
    <w:rsid w:val="0BCF2631"/>
    <w:rsid w:val="0BD22349"/>
    <w:rsid w:val="0BD601C8"/>
    <w:rsid w:val="0C184552"/>
    <w:rsid w:val="0C204987"/>
    <w:rsid w:val="0C445F69"/>
    <w:rsid w:val="0C6035C9"/>
    <w:rsid w:val="0C7F0BE0"/>
    <w:rsid w:val="0C9E07C0"/>
    <w:rsid w:val="0CD46CA9"/>
    <w:rsid w:val="0CE862A0"/>
    <w:rsid w:val="0D3764E2"/>
    <w:rsid w:val="0D3E0359"/>
    <w:rsid w:val="0D4405F6"/>
    <w:rsid w:val="0D7468E1"/>
    <w:rsid w:val="0D8C4120"/>
    <w:rsid w:val="0D922363"/>
    <w:rsid w:val="0DB21AC0"/>
    <w:rsid w:val="0DEF55CF"/>
    <w:rsid w:val="0E0009B0"/>
    <w:rsid w:val="0E0E3222"/>
    <w:rsid w:val="0E117E4F"/>
    <w:rsid w:val="0E6B6DF7"/>
    <w:rsid w:val="0E7109DB"/>
    <w:rsid w:val="0E81153D"/>
    <w:rsid w:val="0EA65FF7"/>
    <w:rsid w:val="0EB1201C"/>
    <w:rsid w:val="0EB41F1B"/>
    <w:rsid w:val="0EDD2496"/>
    <w:rsid w:val="0EE00D37"/>
    <w:rsid w:val="0F145817"/>
    <w:rsid w:val="0F375DB6"/>
    <w:rsid w:val="0F3E279B"/>
    <w:rsid w:val="0F516C98"/>
    <w:rsid w:val="0F830F68"/>
    <w:rsid w:val="0FA21996"/>
    <w:rsid w:val="0FEF7A27"/>
    <w:rsid w:val="0FF15F1E"/>
    <w:rsid w:val="100E6E94"/>
    <w:rsid w:val="10375AFC"/>
    <w:rsid w:val="108718EE"/>
    <w:rsid w:val="10AC3C83"/>
    <w:rsid w:val="11143842"/>
    <w:rsid w:val="1115361F"/>
    <w:rsid w:val="11264C5B"/>
    <w:rsid w:val="113C2571"/>
    <w:rsid w:val="1151206B"/>
    <w:rsid w:val="117006C0"/>
    <w:rsid w:val="1177666F"/>
    <w:rsid w:val="11822DDD"/>
    <w:rsid w:val="118C7E49"/>
    <w:rsid w:val="11A2324B"/>
    <w:rsid w:val="11BF25E6"/>
    <w:rsid w:val="11D92BE1"/>
    <w:rsid w:val="11F43503"/>
    <w:rsid w:val="1240159B"/>
    <w:rsid w:val="12410169"/>
    <w:rsid w:val="12A21EE0"/>
    <w:rsid w:val="12C7796A"/>
    <w:rsid w:val="136066C1"/>
    <w:rsid w:val="136D322D"/>
    <w:rsid w:val="13D71B57"/>
    <w:rsid w:val="13F8528F"/>
    <w:rsid w:val="14142F81"/>
    <w:rsid w:val="14380EF6"/>
    <w:rsid w:val="14426B8A"/>
    <w:rsid w:val="14432FC2"/>
    <w:rsid w:val="14496BEC"/>
    <w:rsid w:val="144B212E"/>
    <w:rsid w:val="14513D79"/>
    <w:rsid w:val="145B75D5"/>
    <w:rsid w:val="14726CF3"/>
    <w:rsid w:val="147C79D6"/>
    <w:rsid w:val="147F7B7B"/>
    <w:rsid w:val="14C66C84"/>
    <w:rsid w:val="150C376B"/>
    <w:rsid w:val="153B4F80"/>
    <w:rsid w:val="158F0E71"/>
    <w:rsid w:val="159F4150"/>
    <w:rsid w:val="15D546C8"/>
    <w:rsid w:val="15FC5509"/>
    <w:rsid w:val="16340669"/>
    <w:rsid w:val="163B2231"/>
    <w:rsid w:val="165E7084"/>
    <w:rsid w:val="1677594C"/>
    <w:rsid w:val="16A75FDA"/>
    <w:rsid w:val="16DB32E8"/>
    <w:rsid w:val="16E14B75"/>
    <w:rsid w:val="17056C60"/>
    <w:rsid w:val="17584D03"/>
    <w:rsid w:val="175D29AB"/>
    <w:rsid w:val="178547AF"/>
    <w:rsid w:val="179D6DAC"/>
    <w:rsid w:val="17BA314F"/>
    <w:rsid w:val="17F67A3F"/>
    <w:rsid w:val="180C0820"/>
    <w:rsid w:val="18197C0F"/>
    <w:rsid w:val="184608DC"/>
    <w:rsid w:val="185338E6"/>
    <w:rsid w:val="18703A20"/>
    <w:rsid w:val="18B07154"/>
    <w:rsid w:val="18D8176F"/>
    <w:rsid w:val="194A4640"/>
    <w:rsid w:val="198166AD"/>
    <w:rsid w:val="19A61EC4"/>
    <w:rsid w:val="19B428C4"/>
    <w:rsid w:val="19C93F66"/>
    <w:rsid w:val="19CD5E58"/>
    <w:rsid w:val="19CF539F"/>
    <w:rsid w:val="19EF46CB"/>
    <w:rsid w:val="19F2051C"/>
    <w:rsid w:val="1A201804"/>
    <w:rsid w:val="1A916F92"/>
    <w:rsid w:val="1ABC530B"/>
    <w:rsid w:val="1AE05CD6"/>
    <w:rsid w:val="1B13040C"/>
    <w:rsid w:val="1B300881"/>
    <w:rsid w:val="1B7C54CC"/>
    <w:rsid w:val="1B8D1C5E"/>
    <w:rsid w:val="1B9A7705"/>
    <w:rsid w:val="1BB61BF6"/>
    <w:rsid w:val="1BEE472B"/>
    <w:rsid w:val="1C0B2852"/>
    <w:rsid w:val="1C122C10"/>
    <w:rsid w:val="1C565C2E"/>
    <w:rsid w:val="1C666919"/>
    <w:rsid w:val="1C743BA3"/>
    <w:rsid w:val="1C8279E9"/>
    <w:rsid w:val="1C8F0BF9"/>
    <w:rsid w:val="1D0113C9"/>
    <w:rsid w:val="1D1A792C"/>
    <w:rsid w:val="1D4B47A1"/>
    <w:rsid w:val="1D577629"/>
    <w:rsid w:val="1D6B7BB3"/>
    <w:rsid w:val="1DA1596F"/>
    <w:rsid w:val="1DA77CE3"/>
    <w:rsid w:val="1E144495"/>
    <w:rsid w:val="1E2803FB"/>
    <w:rsid w:val="1E9142A6"/>
    <w:rsid w:val="1EB778FD"/>
    <w:rsid w:val="1F0E69AC"/>
    <w:rsid w:val="1F3F63F2"/>
    <w:rsid w:val="1F49309B"/>
    <w:rsid w:val="1F8609BF"/>
    <w:rsid w:val="1F967942"/>
    <w:rsid w:val="1FA10A4A"/>
    <w:rsid w:val="1FAD48E9"/>
    <w:rsid w:val="1FC776A3"/>
    <w:rsid w:val="1FCD2688"/>
    <w:rsid w:val="1FD8298A"/>
    <w:rsid w:val="1FD83F3B"/>
    <w:rsid w:val="200971F9"/>
    <w:rsid w:val="203A799E"/>
    <w:rsid w:val="20410727"/>
    <w:rsid w:val="20D122C0"/>
    <w:rsid w:val="20D171A5"/>
    <w:rsid w:val="20E066EC"/>
    <w:rsid w:val="211F2B58"/>
    <w:rsid w:val="21E42F3F"/>
    <w:rsid w:val="21F642A2"/>
    <w:rsid w:val="2220258A"/>
    <w:rsid w:val="22266FBA"/>
    <w:rsid w:val="22305562"/>
    <w:rsid w:val="228722A3"/>
    <w:rsid w:val="22B36A60"/>
    <w:rsid w:val="22D87333"/>
    <w:rsid w:val="22DA21F5"/>
    <w:rsid w:val="22EA660D"/>
    <w:rsid w:val="231A5068"/>
    <w:rsid w:val="234370F6"/>
    <w:rsid w:val="235A42F0"/>
    <w:rsid w:val="23A62410"/>
    <w:rsid w:val="23AD359F"/>
    <w:rsid w:val="23B656AF"/>
    <w:rsid w:val="241070C4"/>
    <w:rsid w:val="24343BFB"/>
    <w:rsid w:val="243604D7"/>
    <w:rsid w:val="24364536"/>
    <w:rsid w:val="245954A0"/>
    <w:rsid w:val="2474796F"/>
    <w:rsid w:val="24753DDF"/>
    <w:rsid w:val="247D070C"/>
    <w:rsid w:val="249A7235"/>
    <w:rsid w:val="249F6523"/>
    <w:rsid w:val="24F01601"/>
    <w:rsid w:val="24F65329"/>
    <w:rsid w:val="255D2EED"/>
    <w:rsid w:val="25701240"/>
    <w:rsid w:val="258C4F1E"/>
    <w:rsid w:val="25A67D2B"/>
    <w:rsid w:val="25AC283D"/>
    <w:rsid w:val="25AC730F"/>
    <w:rsid w:val="25C305BD"/>
    <w:rsid w:val="25D0792A"/>
    <w:rsid w:val="25E94F33"/>
    <w:rsid w:val="263761C6"/>
    <w:rsid w:val="265E490C"/>
    <w:rsid w:val="266013B7"/>
    <w:rsid w:val="26661F8A"/>
    <w:rsid w:val="26675FB7"/>
    <w:rsid w:val="268B21AC"/>
    <w:rsid w:val="2694031D"/>
    <w:rsid w:val="26A542D2"/>
    <w:rsid w:val="26AF6AF8"/>
    <w:rsid w:val="26D55A57"/>
    <w:rsid w:val="275E7252"/>
    <w:rsid w:val="27952399"/>
    <w:rsid w:val="2796708F"/>
    <w:rsid w:val="27D1157C"/>
    <w:rsid w:val="27D15DB8"/>
    <w:rsid w:val="27DC4D02"/>
    <w:rsid w:val="28592C19"/>
    <w:rsid w:val="288C45CA"/>
    <w:rsid w:val="289E2015"/>
    <w:rsid w:val="28A47512"/>
    <w:rsid w:val="28C23E22"/>
    <w:rsid w:val="28E42C03"/>
    <w:rsid w:val="296E388A"/>
    <w:rsid w:val="29C22D91"/>
    <w:rsid w:val="29CA4033"/>
    <w:rsid w:val="29D35BA5"/>
    <w:rsid w:val="29DD3A3D"/>
    <w:rsid w:val="2A01767A"/>
    <w:rsid w:val="2A091F5D"/>
    <w:rsid w:val="2A123A34"/>
    <w:rsid w:val="2A282A8E"/>
    <w:rsid w:val="2A300A89"/>
    <w:rsid w:val="2A7C2AA2"/>
    <w:rsid w:val="2B702228"/>
    <w:rsid w:val="2BAD3374"/>
    <w:rsid w:val="2BED4F21"/>
    <w:rsid w:val="2BF666F2"/>
    <w:rsid w:val="2C066770"/>
    <w:rsid w:val="2C406E3E"/>
    <w:rsid w:val="2C5B5127"/>
    <w:rsid w:val="2C7D5C2B"/>
    <w:rsid w:val="2CA264E6"/>
    <w:rsid w:val="2CAB4820"/>
    <w:rsid w:val="2CF31ACB"/>
    <w:rsid w:val="2D090CF2"/>
    <w:rsid w:val="2D55521B"/>
    <w:rsid w:val="2D7171DE"/>
    <w:rsid w:val="2D7A6908"/>
    <w:rsid w:val="2D8A2E72"/>
    <w:rsid w:val="2D9B1FAC"/>
    <w:rsid w:val="2DA5034E"/>
    <w:rsid w:val="2DA72EF2"/>
    <w:rsid w:val="2E0A132E"/>
    <w:rsid w:val="2E4F35BF"/>
    <w:rsid w:val="2ED33AE0"/>
    <w:rsid w:val="2EDD5A0F"/>
    <w:rsid w:val="2EFE029B"/>
    <w:rsid w:val="2F005C82"/>
    <w:rsid w:val="2F133F8E"/>
    <w:rsid w:val="2FE64E49"/>
    <w:rsid w:val="30202E75"/>
    <w:rsid w:val="30277AA8"/>
    <w:rsid w:val="30327462"/>
    <w:rsid w:val="303A28BA"/>
    <w:rsid w:val="30532A83"/>
    <w:rsid w:val="305D7717"/>
    <w:rsid w:val="30634709"/>
    <w:rsid w:val="30E23E63"/>
    <w:rsid w:val="30FB0004"/>
    <w:rsid w:val="3110299A"/>
    <w:rsid w:val="31212A72"/>
    <w:rsid w:val="316B3F27"/>
    <w:rsid w:val="31857EB9"/>
    <w:rsid w:val="31FA6F59"/>
    <w:rsid w:val="3218277F"/>
    <w:rsid w:val="3225133A"/>
    <w:rsid w:val="32503DD8"/>
    <w:rsid w:val="325950E1"/>
    <w:rsid w:val="32B3644D"/>
    <w:rsid w:val="32BF31BD"/>
    <w:rsid w:val="32DA2B40"/>
    <w:rsid w:val="33137C7F"/>
    <w:rsid w:val="335F01E4"/>
    <w:rsid w:val="3386701D"/>
    <w:rsid w:val="339E7F9A"/>
    <w:rsid w:val="33A074FC"/>
    <w:rsid w:val="34141267"/>
    <w:rsid w:val="348970E3"/>
    <w:rsid w:val="34BE6358"/>
    <w:rsid w:val="34CE4789"/>
    <w:rsid w:val="34DA09CD"/>
    <w:rsid w:val="3501205F"/>
    <w:rsid w:val="35064903"/>
    <w:rsid w:val="350E7DA1"/>
    <w:rsid w:val="3524281B"/>
    <w:rsid w:val="352956BB"/>
    <w:rsid w:val="354F68D7"/>
    <w:rsid w:val="355A2330"/>
    <w:rsid w:val="35B2726F"/>
    <w:rsid w:val="35B57BEE"/>
    <w:rsid w:val="35CA512C"/>
    <w:rsid w:val="361B0F14"/>
    <w:rsid w:val="36536E17"/>
    <w:rsid w:val="366A5737"/>
    <w:rsid w:val="368222E8"/>
    <w:rsid w:val="37454D00"/>
    <w:rsid w:val="37503645"/>
    <w:rsid w:val="37884EC4"/>
    <w:rsid w:val="3802341C"/>
    <w:rsid w:val="382E5ED1"/>
    <w:rsid w:val="3834607B"/>
    <w:rsid w:val="3892120F"/>
    <w:rsid w:val="38A67601"/>
    <w:rsid w:val="38CF7F7C"/>
    <w:rsid w:val="38D87404"/>
    <w:rsid w:val="38E171FE"/>
    <w:rsid w:val="38EC72D9"/>
    <w:rsid w:val="38EE5D54"/>
    <w:rsid w:val="39132962"/>
    <w:rsid w:val="395921EE"/>
    <w:rsid w:val="39AA11F7"/>
    <w:rsid w:val="39CE165E"/>
    <w:rsid w:val="39E96F89"/>
    <w:rsid w:val="39FC57E6"/>
    <w:rsid w:val="3A055D6E"/>
    <w:rsid w:val="3A065A6E"/>
    <w:rsid w:val="3A187CA6"/>
    <w:rsid w:val="3A21775E"/>
    <w:rsid w:val="3A982B90"/>
    <w:rsid w:val="3A9C79F8"/>
    <w:rsid w:val="3A9F7883"/>
    <w:rsid w:val="3AD16519"/>
    <w:rsid w:val="3AEE7E26"/>
    <w:rsid w:val="3B055AD2"/>
    <w:rsid w:val="3B200FE8"/>
    <w:rsid w:val="3B6F5010"/>
    <w:rsid w:val="3B7B5F77"/>
    <w:rsid w:val="3BEC3FCC"/>
    <w:rsid w:val="3C112676"/>
    <w:rsid w:val="3C3C7FA7"/>
    <w:rsid w:val="3C6476BA"/>
    <w:rsid w:val="3C785ADF"/>
    <w:rsid w:val="3C860E7D"/>
    <w:rsid w:val="3CA51057"/>
    <w:rsid w:val="3D1A4C36"/>
    <w:rsid w:val="3D3A11A6"/>
    <w:rsid w:val="3D5043A6"/>
    <w:rsid w:val="3D5D5269"/>
    <w:rsid w:val="3D6652ED"/>
    <w:rsid w:val="3D95329B"/>
    <w:rsid w:val="3DA008DF"/>
    <w:rsid w:val="3DE600D3"/>
    <w:rsid w:val="3DF46406"/>
    <w:rsid w:val="3E0277CF"/>
    <w:rsid w:val="3E060D2D"/>
    <w:rsid w:val="3E0B678B"/>
    <w:rsid w:val="3E1F2116"/>
    <w:rsid w:val="3E7C5351"/>
    <w:rsid w:val="3F420289"/>
    <w:rsid w:val="3F467506"/>
    <w:rsid w:val="3F54069F"/>
    <w:rsid w:val="3F631B80"/>
    <w:rsid w:val="3F9516AF"/>
    <w:rsid w:val="3FE84AE3"/>
    <w:rsid w:val="407B0891"/>
    <w:rsid w:val="409816D5"/>
    <w:rsid w:val="40A175FA"/>
    <w:rsid w:val="40DF013A"/>
    <w:rsid w:val="41333FFC"/>
    <w:rsid w:val="414E3127"/>
    <w:rsid w:val="41747C6F"/>
    <w:rsid w:val="41921EC3"/>
    <w:rsid w:val="41A5670C"/>
    <w:rsid w:val="41C77793"/>
    <w:rsid w:val="41E34D64"/>
    <w:rsid w:val="41E567C3"/>
    <w:rsid w:val="41E843F9"/>
    <w:rsid w:val="421A7B88"/>
    <w:rsid w:val="421B70CF"/>
    <w:rsid w:val="424276A0"/>
    <w:rsid w:val="424D36B4"/>
    <w:rsid w:val="426951B5"/>
    <w:rsid w:val="42845251"/>
    <w:rsid w:val="42CC4C2D"/>
    <w:rsid w:val="42F70DB0"/>
    <w:rsid w:val="430B59A8"/>
    <w:rsid w:val="431B4FC3"/>
    <w:rsid w:val="435760B9"/>
    <w:rsid w:val="4370315C"/>
    <w:rsid w:val="437D2FF7"/>
    <w:rsid w:val="43803081"/>
    <w:rsid w:val="43A878A9"/>
    <w:rsid w:val="43BE30FA"/>
    <w:rsid w:val="43C479C6"/>
    <w:rsid w:val="442534EB"/>
    <w:rsid w:val="44C21C8E"/>
    <w:rsid w:val="44C952CE"/>
    <w:rsid w:val="44CA08B3"/>
    <w:rsid w:val="44E9255A"/>
    <w:rsid w:val="451E22F4"/>
    <w:rsid w:val="45375D80"/>
    <w:rsid w:val="45712483"/>
    <w:rsid w:val="458F1ED7"/>
    <w:rsid w:val="45CB30B6"/>
    <w:rsid w:val="45DC38DA"/>
    <w:rsid w:val="45DC5E3F"/>
    <w:rsid w:val="460D0CAC"/>
    <w:rsid w:val="461D1122"/>
    <w:rsid w:val="462E603F"/>
    <w:rsid w:val="46545842"/>
    <w:rsid w:val="46627E20"/>
    <w:rsid w:val="46732801"/>
    <w:rsid w:val="46AE03DF"/>
    <w:rsid w:val="46AE0D6E"/>
    <w:rsid w:val="46B5501F"/>
    <w:rsid w:val="46E70EE5"/>
    <w:rsid w:val="47120C52"/>
    <w:rsid w:val="471C6CB1"/>
    <w:rsid w:val="47205BE5"/>
    <w:rsid w:val="474016EA"/>
    <w:rsid w:val="477A7511"/>
    <w:rsid w:val="477B46DA"/>
    <w:rsid w:val="479213EB"/>
    <w:rsid w:val="479B0586"/>
    <w:rsid w:val="479E2CA4"/>
    <w:rsid w:val="47EB77A1"/>
    <w:rsid w:val="484A1E8F"/>
    <w:rsid w:val="4867160F"/>
    <w:rsid w:val="486A4FAD"/>
    <w:rsid w:val="487F1AE3"/>
    <w:rsid w:val="48967C7B"/>
    <w:rsid w:val="48A21E7F"/>
    <w:rsid w:val="493A2DA5"/>
    <w:rsid w:val="49406834"/>
    <w:rsid w:val="49A070BF"/>
    <w:rsid w:val="49C54E28"/>
    <w:rsid w:val="4A1E2F8E"/>
    <w:rsid w:val="4A5C194D"/>
    <w:rsid w:val="4A6E3BB4"/>
    <w:rsid w:val="4A7935E2"/>
    <w:rsid w:val="4A7B589D"/>
    <w:rsid w:val="4A8E3221"/>
    <w:rsid w:val="4AA257D9"/>
    <w:rsid w:val="4AC02487"/>
    <w:rsid w:val="4AC07EB1"/>
    <w:rsid w:val="4ACB17D5"/>
    <w:rsid w:val="4ADF27E5"/>
    <w:rsid w:val="4AFD321E"/>
    <w:rsid w:val="4B0578A3"/>
    <w:rsid w:val="4B7B7FFD"/>
    <w:rsid w:val="4B9B6092"/>
    <w:rsid w:val="4BB50102"/>
    <w:rsid w:val="4BC363DE"/>
    <w:rsid w:val="4BE340BC"/>
    <w:rsid w:val="4BEA4E2A"/>
    <w:rsid w:val="4C0349F1"/>
    <w:rsid w:val="4C320182"/>
    <w:rsid w:val="4C470375"/>
    <w:rsid w:val="4C665623"/>
    <w:rsid w:val="4C7807C0"/>
    <w:rsid w:val="4CA239D5"/>
    <w:rsid w:val="4CB209F4"/>
    <w:rsid w:val="4D094EF9"/>
    <w:rsid w:val="4DB82137"/>
    <w:rsid w:val="4DBB4A67"/>
    <w:rsid w:val="4DD13D68"/>
    <w:rsid w:val="4E157B2E"/>
    <w:rsid w:val="4E6870E6"/>
    <w:rsid w:val="4E947BAF"/>
    <w:rsid w:val="4EAB7377"/>
    <w:rsid w:val="4F024F38"/>
    <w:rsid w:val="4F100C8C"/>
    <w:rsid w:val="4F46624E"/>
    <w:rsid w:val="4F4936C4"/>
    <w:rsid w:val="4F674B63"/>
    <w:rsid w:val="4FBB280A"/>
    <w:rsid w:val="4FF7543E"/>
    <w:rsid w:val="50097B33"/>
    <w:rsid w:val="500B6703"/>
    <w:rsid w:val="500F4656"/>
    <w:rsid w:val="502E754A"/>
    <w:rsid w:val="503618BA"/>
    <w:rsid w:val="50383F20"/>
    <w:rsid w:val="503853A1"/>
    <w:rsid w:val="504B513F"/>
    <w:rsid w:val="504F1154"/>
    <w:rsid w:val="50506F78"/>
    <w:rsid w:val="505C0DC7"/>
    <w:rsid w:val="505E5B2B"/>
    <w:rsid w:val="506B0140"/>
    <w:rsid w:val="506B367B"/>
    <w:rsid w:val="507D0506"/>
    <w:rsid w:val="50A73BDD"/>
    <w:rsid w:val="50F74A6D"/>
    <w:rsid w:val="50FB2D75"/>
    <w:rsid w:val="510C2AFE"/>
    <w:rsid w:val="51177286"/>
    <w:rsid w:val="511E6A2E"/>
    <w:rsid w:val="515C6363"/>
    <w:rsid w:val="51A47FF1"/>
    <w:rsid w:val="51AE2024"/>
    <w:rsid w:val="51BA6028"/>
    <w:rsid w:val="51F1246A"/>
    <w:rsid w:val="521D2C30"/>
    <w:rsid w:val="522C23B9"/>
    <w:rsid w:val="52742828"/>
    <w:rsid w:val="527A5FE4"/>
    <w:rsid w:val="529D4028"/>
    <w:rsid w:val="52A2304A"/>
    <w:rsid w:val="52AC7EE9"/>
    <w:rsid w:val="52BE22B2"/>
    <w:rsid w:val="52C443BD"/>
    <w:rsid w:val="530B62E1"/>
    <w:rsid w:val="531B3083"/>
    <w:rsid w:val="53275E79"/>
    <w:rsid w:val="53345682"/>
    <w:rsid w:val="537846AB"/>
    <w:rsid w:val="53842E75"/>
    <w:rsid w:val="538F0639"/>
    <w:rsid w:val="542D3FA9"/>
    <w:rsid w:val="54605A18"/>
    <w:rsid w:val="546E6BA4"/>
    <w:rsid w:val="54776C4D"/>
    <w:rsid w:val="5504315B"/>
    <w:rsid w:val="55201CBD"/>
    <w:rsid w:val="55254864"/>
    <w:rsid w:val="553E3718"/>
    <w:rsid w:val="554549A7"/>
    <w:rsid w:val="55684A34"/>
    <w:rsid w:val="557C7C77"/>
    <w:rsid w:val="55D81A14"/>
    <w:rsid w:val="55DB7B79"/>
    <w:rsid w:val="55DD482A"/>
    <w:rsid w:val="55E07C12"/>
    <w:rsid w:val="55E678B6"/>
    <w:rsid w:val="55F35A47"/>
    <w:rsid w:val="55FE0887"/>
    <w:rsid w:val="564045C9"/>
    <w:rsid w:val="565F1E3A"/>
    <w:rsid w:val="56A26AD1"/>
    <w:rsid w:val="56C5544D"/>
    <w:rsid w:val="56F057FC"/>
    <w:rsid w:val="57491E83"/>
    <w:rsid w:val="5763559E"/>
    <w:rsid w:val="578057A6"/>
    <w:rsid w:val="578A197C"/>
    <w:rsid w:val="57A36E66"/>
    <w:rsid w:val="57AF7814"/>
    <w:rsid w:val="57B326C5"/>
    <w:rsid w:val="57B453AE"/>
    <w:rsid w:val="580E39A5"/>
    <w:rsid w:val="58563C46"/>
    <w:rsid w:val="585E4E8D"/>
    <w:rsid w:val="58766113"/>
    <w:rsid w:val="589D2D53"/>
    <w:rsid w:val="58CB6B4D"/>
    <w:rsid w:val="5910586C"/>
    <w:rsid w:val="595C4A32"/>
    <w:rsid w:val="595D1FA0"/>
    <w:rsid w:val="59704257"/>
    <w:rsid w:val="59E44140"/>
    <w:rsid w:val="59ED0B30"/>
    <w:rsid w:val="59FB0879"/>
    <w:rsid w:val="5A120396"/>
    <w:rsid w:val="5A1C7FBC"/>
    <w:rsid w:val="5A8E6A07"/>
    <w:rsid w:val="5AAA331E"/>
    <w:rsid w:val="5AB472BC"/>
    <w:rsid w:val="5ABB01AA"/>
    <w:rsid w:val="5B1C30DB"/>
    <w:rsid w:val="5B9B040B"/>
    <w:rsid w:val="5BF2422C"/>
    <w:rsid w:val="5C176710"/>
    <w:rsid w:val="5C5937A0"/>
    <w:rsid w:val="5C7B77D2"/>
    <w:rsid w:val="5C827A9D"/>
    <w:rsid w:val="5CB3211E"/>
    <w:rsid w:val="5CE17685"/>
    <w:rsid w:val="5D221815"/>
    <w:rsid w:val="5D827BDC"/>
    <w:rsid w:val="5DBD1BCB"/>
    <w:rsid w:val="5E00173D"/>
    <w:rsid w:val="5E2D21E2"/>
    <w:rsid w:val="5E2D2E7B"/>
    <w:rsid w:val="5E4054E9"/>
    <w:rsid w:val="5EC1298E"/>
    <w:rsid w:val="5EDB3D0C"/>
    <w:rsid w:val="5F021329"/>
    <w:rsid w:val="5F191113"/>
    <w:rsid w:val="5F367B12"/>
    <w:rsid w:val="5F375B0E"/>
    <w:rsid w:val="5F493B38"/>
    <w:rsid w:val="5FAE6D88"/>
    <w:rsid w:val="5FB00EDE"/>
    <w:rsid w:val="5FCD48F6"/>
    <w:rsid w:val="5FD71A4E"/>
    <w:rsid w:val="5FEA59E9"/>
    <w:rsid w:val="5FF57913"/>
    <w:rsid w:val="60355399"/>
    <w:rsid w:val="60506B97"/>
    <w:rsid w:val="60AF6761"/>
    <w:rsid w:val="60BD7EEC"/>
    <w:rsid w:val="60CE36BE"/>
    <w:rsid w:val="617541B5"/>
    <w:rsid w:val="617C2BEF"/>
    <w:rsid w:val="61DC1CC4"/>
    <w:rsid w:val="61F86567"/>
    <w:rsid w:val="62067ABC"/>
    <w:rsid w:val="62202F7E"/>
    <w:rsid w:val="62335E72"/>
    <w:rsid w:val="62A34B26"/>
    <w:rsid w:val="62B56644"/>
    <w:rsid w:val="62B9667C"/>
    <w:rsid w:val="62C1236E"/>
    <w:rsid w:val="62CF49AC"/>
    <w:rsid w:val="62D4068A"/>
    <w:rsid w:val="62E63A62"/>
    <w:rsid w:val="62F635CB"/>
    <w:rsid w:val="63145461"/>
    <w:rsid w:val="632563F1"/>
    <w:rsid w:val="633A0A37"/>
    <w:rsid w:val="638D02E2"/>
    <w:rsid w:val="63A37B19"/>
    <w:rsid w:val="63BB2E28"/>
    <w:rsid w:val="63BB7275"/>
    <w:rsid w:val="63BB7456"/>
    <w:rsid w:val="640466F1"/>
    <w:rsid w:val="6408457B"/>
    <w:rsid w:val="64CA3E08"/>
    <w:rsid w:val="65646A80"/>
    <w:rsid w:val="657B3368"/>
    <w:rsid w:val="658F44DE"/>
    <w:rsid w:val="65A16D2C"/>
    <w:rsid w:val="65C152E1"/>
    <w:rsid w:val="65D350BF"/>
    <w:rsid w:val="65FC6AB9"/>
    <w:rsid w:val="66090CB0"/>
    <w:rsid w:val="660B1F32"/>
    <w:rsid w:val="660D36D1"/>
    <w:rsid w:val="661A3666"/>
    <w:rsid w:val="661E6E71"/>
    <w:rsid w:val="66295758"/>
    <w:rsid w:val="66B14026"/>
    <w:rsid w:val="66B224CF"/>
    <w:rsid w:val="66BE0C1B"/>
    <w:rsid w:val="66CA502F"/>
    <w:rsid w:val="66D531F3"/>
    <w:rsid w:val="66DB18AD"/>
    <w:rsid w:val="66FC0D58"/>
    <w:rsid w:val="67022BC6"/>
    <w:rsid w:val="670C7A2B"/>
    <w:rsid w:val="676B4B9D"/>
    <w:rsid w:val="676F1E75"/>
    <w:rsid w:val="679C06F3"/>
    <w:rsid w:val="67A22912"/>
    <w:rsid w:val="67A25863"/>
    <w:rsid w:val="67B770DA"/>
    <w:rsid w:val="68097641"/>
    <w:rsid w:val="68257DD0"/>
    <w:rsid w:val="68511835"/>
    <w:rsid w:val="68722CE6"/>
    <w:rsid w:val="68A343E7"/>
    <w:rsid w:val="690338E3"/>
    <w:rsid w:val="69161522"/>
    <w:rsid w:val="6929003B"/>
    <w:rsid w:val="692F30F1"/>
    <w:rsid w:val="69464BFD"/>
    <w:rsid w:val="694D523A"/>
    <w:rsid w:val="695F7465"/>
    <w:rsid w:val="696B0F98"/>
    <w:rsid w:val="697C3411"/>
    <w:rsid w:val="69B66F27"/>
    <w:rsid w:val="6A105425"/>
    <w:rsid w:val="6A1326D5"/>
    <w:rsid w:val="6A3D40A4"/>
    <w:rsid w:val="6A406011"/>
    <w:rsid w:val="6A6A2CF8"/>
    <w:rsid w:val="6A703FCD"/>
    <w:rsid w:val="6AA01904"/>
    <w:rsid w:val="6AA750BE"/>
    <w:rsid w:val="6AB90858"/>
    <w:rsid w:val="6AC365D3"/>
    <w:rsid w:val="6B497654"/>
    <w:rsid w:val="6B9C51B2"/>
    <w:rsid w:val="6B9D63B8"/>
    <w:rsid w:val="6C387620"/>
    <w:rsid w:val="6C442457"/>
    <w:rsid w:val="6C4A4342"/>
    <w:rsid w:val="6C5470DE"/>
    <w:rsid w:val="6CC50040"/>
    <w:rsid w:val="6CCA7639"/>
    <w:rsid w:val="6D0202B8"/>
    <w:rsid w:val="6D165552"/>
    <w:rsid w:val="6D1C7E1F"/>
    <w:rsid w:val="6D2906CA"/>
    <w:rsid w:val="6D4C2666"/>
    <w:rsid w:val="6D8B5E98"/>
    <w:rsid w:val="6D985B85"/>
    <w:rsid w:val="6DB51C41"/>
    <w:rsid w:val="6DCE6BC1"/>
    <w:rsid w:val="6DD07D63"/>
    <w:rsid w:val="6E33259B"/>
    <w:rsid w:val="6E613E47"/>
    <w:rsid w:val="6E765BE9"/>
    <w:rsid w:val="6E84519C"/>
    <w:rsid w:val="6E9368EE"/>
    <w:rsid w:val="6ECB5FF4"/>
    <w:rsid w:val="6EDB4D85"/>
    <w:rsid w:val="6F9C44EE"/>
    <w:rsid w:val="6FB77F30"/>
    <w:rsid w:val="6FCC39B1"/>
    <w:rsid w:val="6FE26EB6"/>
    <w:rsid w:val="702A64E2"/>
    <w:rsid w:val="70322B06"/>
    <w:rsid w:val="71CA20E3"/>
    <w:rsid w:val="71DF7520"/>
    <w:rsid w:val="71FD285A"/>
    <w:rsid w:val="727E331F"/>
    <w:rsid w:val="72A3445E"/>
    <w:rsid w:val="72CC1234"/>
    <w:rsid w:val="72D063B2"/>
    <w:rsid w:val="7350471B"/>
    <w:rsid w:val="739179DE"/>
    <w:rsid w:val="73983218"/>
    <w:rsid w:val="73E52D26"/>
    <w:rsid w:val="73FC5C3E"/>
    <w:rsid w:val="746133BB"/>
    <w:rsid w:val="74CE0FFA"/>
    <w:rsid w:val="75007707"/>
    <w:rsid w:val="75DC6E58"/>
    <w:rsid w:val="75E57BB3"/>
    <w:rsid w:val="768A5389"/>
    <w:rsid w:val="76AB6FB1"/>
    <w:rsid w:val="76F56860"/>
    <w:rsid w:val="776178D0"/>
    <w:rsid w:val="77687E28"/>
    <w:rsid w:val="778A04CE"/>
    <w:rsid w:val="77A22AF9"/>
    <w:rsid w:val="77AF3087"/>
    <w:rsid w:val="77DB6C69"/>
    <w:rsid w:val="77EB08A8"/>
    <w:rsid w:val="77EE40FA"/>
    <w:rsid w:val="77FC56B5"/>
    <w:rsid w:val="780E0829"/>
    <w:rsid w:val="784558E4"/>
    <w:rsid w:val="789E758C"/>
    <w:rsid w:val="78BC79BF"/>
    <w:rsid w:val="78DB2D82"/>
    <w:rsid w:val="78E41013"/>
    <w:rsid w:val="79324C11"/>
    <w:rsid w:val="796D14FA"/>
    <w:rsid w:val="79851A15"/>
    <w:rsid w:val="79A71283"/>
    <w:rsid w:val="79CA6237"/>
    <w:rsid w:val="79EB4C6F"/>
    <w:rsid w:val="79FD073E"/>
    <w:rsid w:val="7A081233"/>
    <w:rsid w:val="7A132209"/>
    <w:rsid w:val="7A1D263E"/>
    <w:rsid w:val="7A3A650B"/>
    <w:rsid w:val="7A481619"/>
    <w:rsid w:val="7A6616D2"/>
    <w:rsid w:val="7A790062"/>
    <w:rsid w:val="7A7A5ED7"/>
    <w:rsid w:val="7A935BEF"/>
    <w:rsid w:val="7AC05C7C"/>
    <w:rsid w:val="7AC72E79"/>
    <w:rsid w:val="7ACB7019"/>
    <w:rsid w:val="7AD21A0F"/>
    <w:rsid w:val="7ADB0C0B"/>
    <w:rsid w:val="7B06123C"/>
    <w:rsid w:val="7B3D4FF3"/>
    <w:rsid w:val="7B484722"/>
    <w:rsid w:val="7B5F1241"/>
    <w:rsid w:val="7BC93A12"/>
    <w:rsid w:val="7BD8773B"/>
    <w:rsid w:val="7BD95346"/>
    <w:rsid w:val="7BFA6A46"/>
    <w:rsid w:val="7C060F1B"/>
    <w:rsid w:val="7C0D0E32"/>
    <w:rsid w:val="7C2602B7"/>
    <w:rsid w:val="7C6A1355"/>
    <w:rsid w:val="7C6C55FB"/>
    <w:rsid w:val="7C7476B3"/>
    <w:rsid w:val="7C996B83"/>
    <w:rsid w:val="7CC26E49"/>
    <w:rsid w:val="7CC6280A"/>
    <w:rsid w:val="7D272CC4"/>
    <w:rsid w:val="7D4B47AF"/>
    <w:rsid w:val="7D88717E"/>
    <w:rsid w:val="7D891F1B"/>
    <w:rsid w:val="7D9F4AEF"/>
    <w:rsid w:val="7DF55144"/>
    <w:rsid w:val="7DF86EFC"/>
    <w:rsid w:val="7E0378BE"/>
    <w:rsid w:val="7E8E3F13"/>
    <w:rsid w:val="7EAE583D"/>
    <w:rsid w:val="7ED232F6"/>
    <w:rsid w:val="7ED405DD"/>
    <w:rsid w:val="7F71460F"/>
    <w:rsid w:val="7FF11111"/>
    <w:rsid w:val="7FF72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5">
    <w:name w:val="Default Paragraph Font"/>
    <w:unhideWhenUsed/>
    <w:qFormat/>
    <w:uiPriority w:val="1"/>
  </w:style>
  <w:style w:type="table" w:default="1" w:styleId="1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Normal Indent1"/>
    <w:basedOn w:val="1"/>
    <w:unhideWhenUsed/>
    <w:qFormat/>
    <w:uiPriority w:val="0"/>
    <w:pPr>
      <w:snapToGrid w:val="0"/>
      <w:spacing w:line="300" w:lineRule="auto"/>
      <w:ind w:firstLine="556"/>
    </w:pPr>
    <w:rPr>
      <w:rFonts w:hint="eastAsia" w:ascii="仿宋_GB2312"/>
      <w:kern w:val="0"/>
      <w:sz w:val="21"/>
    </w:rPr>
  </w:style>
  <w:style w:type="paragraph" w:styleId="3">
    <w:name w:val="Normal Indent"/>
    <w:basedOn w:val="1"/>
    <w:next w:val="1"/>
    <w:qFormat/>
    <w:uiPriority w:val="0"/>
    <w:pPr>
      <w:ind w:firstLine="420" w:firstLineChars="200"/>
    </w:pPr>
    <w:rPr>
      <w:rFonts w:ascii="Calibri" w:hAnsi="Calibri" w:eastAsia="宋体" w:cs="Times New Roman"/>
    </w:rPr>
  </w:style>
  <w:style w:type="paragraph" w:styleId="4">
    <w:name w:val="annotation text"/>
    <w:basedOn w:val="1"/>
    <w:link w:val="36"/>
    <w:qFormat/>
    <w:uiPriority w:val="0"/>
    <w:pPr>
      <w:keepNext w:val="0"/>
      <w:keepLines w:val="0"/>
      <w:widowControl w:val="0"/>
      <w:suppressLineNumbers w:val="0"/>
      <w:spacing w:before="0" w:beforeAutospacing="0" w:after="0" w:afterAutospacing="0"/>
      <w:ind w:left="0" w:right="0"/>
      <w:jc w:val="left"/>
    </w:pPr>
    <w:rPr>
      <w:rFonts w:hint="default" w:ascii="Calibri" w:hAnsi="Calibri" w:eastAsia="宋体" w:cs="Times New Roman"/>
      <w:kern w:val="2"/>
      <w:sz w:val="21"/>
      <w:szCs w:val="24"/>
      <w:lang w:val="en-US" w:eastAsia="zh-CN" w:bidi="ar"/>
    </w:rPr>
  </w:style>
  <w:style w:type="paragraph" w:styleId="5">
    <w:name w:val="toc 3"/>
    <w:basedOn w:val="1"/>
    <w:next w:val="1"/>
    <w:qFormat/>
    <w:uiPriority w:val="39"/>
    <w:pPr>
      <w:ind w:left="840" w:leftChars="400"/>
    </w:pPr>
  </w:style>
  <w:style w:type="paragraph" w:styleId="6">
    <w:name w:val="Plain Text"/>
    <w:basedOn w:val="1"/>
    <w:qFormat/>
    <w:uiPriority w:val="0"/>
    <w:rPr>
      <w:rFonts w:ascii="宋体" w:hAnsi="Courier New" w:eastAsia="楷体_GB2312"/>
      <w:kern w:val="0"/>
      <w:sz w:val="20"/>
      <w:szCs w:val="20"/>
    </w:rPr>
  </w:style>
  <w:style w:type="paragraph" w:styleId="7">
    <w:name w:val="Balloon Text"/>
    <w:basedOn w:val="1"/>
    <w:link w:val="3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FollowedHyperlink"/>
    <w:basedOn w:val="15"/>
    <w:qFormat/>
    <w:uiPriority w:val="0"/>
    <w:rPr>
      <w:color w:val="333333"/>
      <w:u w:val="none"/>
    </w:rPr>
  </w:style>
  <w:style w:type="character" w:styleId="18">
    <w:name w:val="Emphasis"/>
    <w:basedOn w:val="15"/>
    <w:qFormat/>
    <w:uiPriority w:val="0"/>
  </w:style>
  <w:style w:type="character" w:styleId="19">
    <w:name w:val="HTML Definition"/>
    <w:basedOn w:val="15"/>
    <w:qFormat/>
    <w:uiPriority w:val="0"/>
  </w:style>
  <w:style w:type="character" w:styleId="20">
    <w:name w:val="HTML Acronym"/>
    <w:basedOn w:val="15"/>
    <w:qFormat/>
    <w:uiPriority w:val="0"/>
  </w:style>
  <w:style w:type="character" w:styleId="21">
    <w:name w:val="HTML Variable"/>
    <w:basedOn w:val="15"/>
    <w:qFormat/>
    <w:uiPriority w:val="0"/>
  </w:style>
  <w:style w:type="character" w:styleId="22">
    <w:name w:val="Hyperlink"/>
    <w:basedOn w:val="15"/>
    <w:qFormat/>
    <w:uiPriority w:val="99"/>
    <w:rPr>
      <w:color w:val="333333"/>
      <w:u w:val="none"/>
    </w:rPr>
  </w:style>
  <w:style w:type="character" w:styleId="23">
    <w:name w:val="HTML Code"/>
    <w:basedOn w:val="15"/>
    <w:qFormat/>
    <w:uiPriority w:val="0"/>
    <w:rPr>
      <w:rFonts w:hint="eastAsia" w:ascii="微软雅黑" w:hAnsi="微软雅黑" w:eastAsia="微软雅黑" w:cs="微软雅黑"/>
      <w:sz w:val="18"/>
      <w:szCs w:val="18"/>
    </w:rPr>
  </w:style>
  <w:style w:type="character" w:styleId="24">
    <w:name w:val="HTML Cite"/>
    <w:basedOn w:val="15"/>
    <w:qFormat/>
    <w:uiPriority w:val="0"/>
  </w:style>
  <w:style w:type="paragraph" w:customStyle="1" w:styleId="25">
    <w:name w:val="Body text|1"/>
    <w:basedOn w:val="1"/>
    <w:qFormat/>
    <w:uiPriority w:val="0"/>
    <w:pPr>
      <w:spacing w:line="401" w:lineRule="auto"/>
      <w:ind w:firstLine="400"/>
    </w:pPr>
    <w:rPr>
      <w:rFonts w:ascii="宋体" w:hAnsi="宋体" w:eastAsia="宋体" w:cs="宋体"/>
      <w:sz w:val="20"/>
      <w:szCs w:val="20"/>
      <w:lang w:val="zh-TW" w:eastAsia="zh-TW" w:bidi="zh-TW"/>
    </w:rPr>
  </w:style>
  <w:style w:type="paragraph" w:customStyle="1" w:styleId="26">
    <w:name w:val="Body text|4"/>
    <w:basedOn w:val="1"/>
    <w:qFormat/>
    <w:uiPriority w:val="0"/>
    <w:pPr>
      <w:spacing w:line="369" w:lineRule="exact"/>
      <w:ind w:firstLine="460"/>
    </w:pPr>
    <w:rPr>
      <w:rFonts w:ascii="宋体" w:hAnsi="宋体" w:eastAsia="宋体" w:cs="宋体"/>
      <w:sz w:val="18"/>
      <w:szCs w:val="18"/>
      <w:lang w:val="zh-TW" w:eastAsia="zh-TW" w:bidi="zh-TW"/>
    </w:rPr>
  </w:style>
  <w:style w:type="character" w:customStyle="1" w:styleId="27">
    <w:name w:val="dropselect_box"/>
    <w:basedOn w:val="15"/>
    <w:qFormat/>
    <w:uiPriority w:val="0"/>
    <w:rPr>
      <w:bdr w:val="single" w:color="E2E2E2" w:sz="6" w:space="0"/>
    </w:rPr>
  </w:style>
  <w:style w:type="character" w:customStyle="1" w:styleId="28">
    <w:name w:val="dropselect_box1"/>
    <w:basedOn w:val="15"/>
    <w:qFormat/>
    <w:uiPriority w:val="0"/>
  </w:style>
  <w:style w:type="character" w:customStyle="1" w:styleId="29">
    <w:name w:val="hj-easyread-speakerprocesser-position-action-icon"/>
    <w:basedOn w:val="15"/>
    <w:qFormat/>
    <w:uiPriority w:val="0"/>
  </w:style>
  <w:style w:type="paragraph" w:customStyle="1" w:styleId="30">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lang w:val="en-US" w:eastAsia="zh-CN" w:bidi="ar-SA"/>
    </w:rPr>
  </w:style>
  <w:style w:type="character" w:customStyle="1" w:styleId="31">
    <w:name w:val="批注框文本 Char"/>
    <w:basedOn w:val="15"/>
    <w:link w:val="7"/>
    <w:qFormat/>
    <w:uiPriority w:val="0"/>
    <w:rPr>
      <w:rFonts w:asciiTheme="minorHAnsi" w:hAnsiTheme="minorHAnsi" w:eastAsiaTheme="minorEastAsia" w:cstheme="minorBidi"/>
      <w:kern w:val="2"/>
      <w:sz w:val="18"/>
      <w:szCs w:val="18"/>
    </w:rPr>
  </w:style>
  <w:style w:type="character" w:customStyle="1" w:styleId="32">
    <w:name w:val="font71"/>
    <w:basedOn w:val="15"/>
    <w:qFormat/>
    <w:uiPriority w:val="0"/>
    <w:rPr>
      <w:rFonts w:hint="eastAsia" w:ascii="宋体" w:hAnsi="宋体" w:eastAsia="宋体" w:cs="宋体"/>
      <w:b/>
      <w:color w:val="auto"/>
      <w:sz w:val="20"/>
      <w:szCs w:val="20"/>
      <w:u w:val="none"/>
    </w:rPr>
  </w:style>
  <w:style w:type="character" w:customStyle="1" w:styleId="33">
    <w:name w:val="font61"/>
    <w:basedOn w:val="15"/>
    <w:qFormat/>
    <w:uiPriority w:val="0"/>
    <w:rPr>
      <w:rFonts w:hint="eastAsia" w:ascii="宋体" w:hAnsi="宋体" w:eastAsia="宋体" w:cs="宋体"/>
      <w:b/>
      <w:color w:val="auto"/>
      <w:sz w:val="20"/>
      <w:szCs w:val="20"/>
      <w:u w:val="none"/>
    </w:rPr>
  </w:style>
  <w:style w:type="paragraph" w:customStyle="1" w:styleId="34">
    <w:name w:val="List Paragraph"/>
    <w:basedOn w:val="1"/>
    <w:unhideWhenUsed/>
    <w:qFormat/>
    <w:uiPriority w:val="34"/>
    <w:pPr>
      <w:ind w:firstLine="420" w:firstLineChars="200"/>
    </w:pPr>
  </w:style>
  <w:style w:type="table" w:customStyle="1" w:styleId="35">
    <w:name w:val="网格型1"/>
    <w:basedOn w:val="13"/>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36">
    <w:name w:val="批注文字 字符"/>
    <w:basedOn w:val="15"/>
    <w:link w:val="4"/>
    <w:qFormat/>
    <w:uiPriority w:val="0"/>
    <w:rPr>
      <w:rFonts w:hint="default" w:ascii="Calibri" w:hAnsi="Calibri" w:eastAsia="宋体" w:cs="Times New Roman"/>
      <w:kern w:val="2"/>
      <w:sz w:val="21"/>
      <w:szCs w:val="24"/>
    </w:rPr>
  </w:style>
  <w:style w:type="paragraph" w:customStyle="1" w:styleId="37">
    <w:name w:val="Header or footer|1"/>
    <w:basedOn w:val="1"/>
    <w:qFormat/>
    <w:uiPriority w:val="0"/>
    <w:pPr>
      <w:widowControl w:val="0"/>
      <w:shd w:val="clear" w:color="auto" w:fill="auto"/>
    </w:pPr>
    <w:rPr>
      <w:sz w:val="28"/>
      <w:szCs w:val="28"/>
      <w:u w:val="none"/>
      <w:shd w:val="clear" w:color="auto" w:fill="auto"/>
      <w:lang w:val="zh-TW" w:eastAsia="zh-TW" w:bidi="zh-TW"/>
    </w:rPr>
  </w:style>
  <w:style w:type="paragraph" w:customStyle="1" w:styleId="38">
    <w:name w:val="Body text|2"/>
    <w:basedOn w:val="1"/>
    <w:qFormat/>
    <w:uiPriority w:val="0"/>
    <w:pPr>
      <w:widowControl w:val="0"/>
      <w:shd w:val="clear" w:color="auto" w:fill="auto"/>
      <w:spacing w:line="564" w:lineRule="exact"/>
      <w:ind w:left="930" w:firstLine="720"/>
    </w:pPr>
    <w:rPr>
      <w:rFonts w:ascii="宋体" w:hAnsi="宋体" w:eastAsia="宋体" w:cs="宋体"/>
      <w:b/>
      <w:bCs/>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19</Pages>
  <Words>6824</Words>
  <Characters>6961</Characters>
  <Lines>143</Lines>
  <Paragraphs>88</Paragraphs>
  <TotalTime>0</TotalTime>
  <ScaleCrop>false</ScaleCrop>
  <LinksUpToDate>false</LinksUpToDate>
  <CharactersWithSpaces>7642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2021-08-10T09:56:00Z</dcterms:created>
  <dc:creator>Administrator</dc:creator>
  <cp:lastModifiedBy>chenfang</cp:lastModifiedBy>
  <cp:lastPrinted>2022-01-26T16:46:00Z</cp:lastPrinted>
  <dcterms:modified xsi:type="dcterms:W3CDTF">2025-09-16T08:47:17Z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AF613ACA6A614A4CAA65A4CCEFAD6DC3</vt:lpwstr>
  </property>
</Properties>
</file>