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20" w:afterAutospacing="0" w:line="576" w:lineRule="exact"/>
        <w:ind w:left="0" w:right="0"/>
        <w:jc w:val="center"/>
        <w:textAlignment w:val="auto"/>
        <w:rPr>
          <w:rFonts w:hint="eastAsia" w:ascii="方正小标宋_GBK" w:hAnsi="方正小标宋_GBK" w:eastAsia="方正小标宋_GBK" w:cs="方正小标宋_GBK"/>
          <w:kern w:val="2"/>
          <w:sz w:val="44"/>
          <w:szCs w:val="44"/>
          <w:lang w:val="en-US" w:eastAsia="zh-CN" w:bidi="ar-SA"/>
        </w:rPr>
      </w:pPr>
      <w:r>
        <w:rPr>
          <w:rFonts w:hint="eastAsia" w:ascii="方正小标宋_GBK" w:hAnsi="方正小标宋_GBK" w:eastAsia="方正小标宋_GBK" w:cs="方正小标宋_GBK"/>
          <w:kern w:val="2"/>
          <w:sz w:val="44"/>
          <w:szCs w:val="44"/>
          <w:lang w:val="en-US" w:eastAsia="zh-CN" w:bidi="ar-SA"/>
        </w:rPr>
        <w:t>景洪市摊贩经营场所划定和管理实施办法（</w:t>
      </w:r>
      <w:r>
        <w:rPr>
          <w:rFonts w:hint="eastAsia" w:ascii="方正小标宋_GBK" w:hAnsi="方正小标宋_GBK" w:eastAsia="方正小标宋_GBK" w:cs="方正小标宋_GBK"/>
          <w:color w:val="000000"/>
          <w:kern w:val="0"/>
          <w:sz w:val="43"/>
          <w:szCs w:val="43"/>
          <w:lang w:val="en-US" w:eastAsia="zh-CN" w:bidi="ar"/>
        </w:rPr>
        <w:t>征求意见稿</w:t>
      </w:r>
      <w:r>
        <w:rPr>
          <w:rFonts w:hint="eastAsia" w:ascii="方正小标宋_GBK" w:hAnsi="方正小标宋_GBK" w:eastAsia="方正小标宋_GBK" w:cs="方正小标宋_GBK"/>
          <w:kern w:val="2"/>
          <w:sz w:val="44"/>
          <w:szCs w:val="44"/>
          <w:lang w:val="en-US" w:eastAsia="zh-CN" w:bidi="ar-SA"/>
        </w:rPr>
        <w:t>）</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center"/>
        <w:textAlignment w:val="auto"/>
        <w:rPr>
          <w:rFonts w:hint="eastAsia" w:ascii="宋体" w:hAnsi="宋体" w:eastAsia="方正仿宋_GBK" w:cs="方正仿宋_GBK"/>
          <w:b/>
          <w:bCs/>
          <w:kern w:val="2"/>
          <w:sz w:val="32"/>
          <w:szCs w:val="32"/>
          <w:lang w:val="en-US" w:eastAsia="zh-CN" w:bidi="ar-SA"/>
        </w:rPr>
      </w:pPr>
      <w:r>
        <w:rPr>
          <w:rFonts w:hint="eastAsia" w:ascii="宋体" w:hAnsi="宋体" w:eastAsia="方正仿宋_GBK" w:cs="方正仿宋_GBK"/>
          <w:b/>
          <w:bCs/>
          <w:kern w:val="2"/>
          <w:sz w:val="32"/>
          <w:szCs w:val="32"/>
          <w:lang w:val="en-US" w:eastAsia="zh-CN" w:bidi="ar-SA"/>
        </w:rPr>
        <w:t>总则</w:t>
      </w:r>
    </w:p>
    <w:p>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right="0" w:rightChars="0" w:firstLine="640" w:firstLineChars="20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为规范摊贩经营场所划定和管理，根据《城市市容和</w:t>
      </w:r>
      <w:bookmarkStart w:id="0" w:name="_GoBack"/>
      <w:bookmarkEnd w:id="0"/>
      <w:r>
        <w:rPr>
          <w:rFonts w:hint="eastAsia" w:ascii="宋体" w:hAnsi="宋体" w:eastAsia="方正仿宋_GBK" w:cs="方正仿宋_GBK"/>
          <w:kern w:val="2"/>
          <w:sz w:val="32"/>
          <w:szCs w:val="32"/>
          <w:lang w:val="en-US" w:eastAsia="zh-CN" w:bidi="ar-SA"/>
        </w:rPr>
        <w:t>环境卫生管理条例》《云南省城市市容和环境卫生管理办法》《云南省食品生产加工小作坊和食品摊贩管理条例》《云南省西双版纳傣族自治州城镇市容和环境卫生管理条例》等有关规定，结合景洪市实际，制定本办法。</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right="0" w:rightChars="0" w:firstLine="640" w:firstLineChars="20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第二条 坚持堵与疏、法治与自治、有序与活力相结合的原则，规范实施摊贩经营场所划定和管理工作，充分发挥基层治理优势，探索建立市容秩序管理融入基层社区治理的新机制、新模式。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第三条 因地制宜划定摊贩经营场所，疏导辖区内违规占道摆卖，弥补区域生活和商业配套不足，形成秩序井然、充满活力的摊贩经营场所，满足市民群众对便利化、多元化生活的需求，进一步提升超大城市精细化治理水平，助力全面建设全球一流现代化创新城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第四条 本办法所称的摊贩经营场所是指街道办事处根据方便群众、布局合理、监管有序原则，统一划定和管理的集中区域。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第五条 摊贩经营场所的划定和管理应当体现公益性，可根据场所用地权属，引导相关市容和环境卫生作业服务企业或用地权属单位等作为运维主体开展日常运维工作。日常运维不得以营利为目的。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第六条 市人民政府食品药品监督管理部门对食品小作坊和食品摊贩的食品生产经营活动实施监督管理。市</w:t>
      </w:r>
      <w:r>
        <w:rPr>
          <w:rFonts w:hint="eastAsia" w:ascii="宋体" w:hAnsi="宋体" w:eastAsia="方正仿宋_GBK" w:cs="方正仿宋_GBK"/>
          <w:color w:val="auto"/>
          <w:kern w:val="2"/>
          <w:sz w:val="32"/>
          <w:szCs w:val="32"/>
          <w:lang w:val="en-US" w:eastAsia="zh-CN" w:bidi="ar-SA"/>
        </w:rPr>
        <w:t>卫生健康局</w:t>
      </w:r>
      <w:r>
        <w:rPr>
          <w:rFonts w:hint="eastAsia" w:ascii="宋体" w:hAnsi="宋体" w:eastAsia="方正仿宋_GBK" w:cs="方正仿宋_GBK"/>
          <w:kern w:val="2"/>
          <w:sz w:val="32"/>
          <w:szCs w:val="32"/>
          <w:lang w:val="en-US" w:eastAsia="zh-CN" w:bidi="ar-SA"/>
        </w:rPr>
        <w:t>应当将食品小作坊和食品摊贩食品安全纳入风险监测计划，开展风险监测。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市场监督管理局、消防、街道办事处负责定期组织相关部门对摊贩经营场所内食品安全、消防安全等进行监督检查管理；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市住建局、市综合执法局、各街道执法队负责摊贩经营场所划定和管理工作的日常指导、协调和监督，强化部门联动，根据工作需要召开专题会议，并负责市容管理、绿化环卫监管工作；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市公安局负责治安秩序监管工作；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color w:val="auto"/>
          <w:kern w:val="2"/>
          <w:sz w:val="32"/>
          <w:szCs w:val="32"/>
          <w:lang w:val="en-US" w:eastAsia="zh-CN" w:bidi="ar-SA"/>
        </w:rPr>
      </w:pPr>
      <w:r>
        <w:rPr>
          <w:rFonts w:hint="eastAsia" w:ascii="宋体" w:hAnsi="宋体" w:eastAsia="方正仿宋_GBK" w:cs="方正仿宋_GBK"/>
          <w:kern w:val="2"/>
          <w:sz w:val="32"/>
          <w:szCs w:val="32"/>
          <w:lang w:val="en-US" w:eastAsia="zh-CN" w:bidi="ar-SA"/>
        </w:rPr>
        <w:t>　　市公安局交通管理支队负责</w:t>
      </w:r>
      <w:r>
        <w:rPr>
          <w:rFonts w:hint="eastAsia" w:ascii="宋体" w:hAnsi="宋体" w:eastAsia="方正仿宋_GBK" w:cs="方正仿宋_GBK"/>
          <w:color w:val="auto"/>
          <w:kern w:val="2"/>
          <w:sz w:val="32"/>
          <w:szCs w:val="32"/>
          <w:lang w:val="en-US" w:eastAsia="zh-CN" w:bidi="ar-SA"/>
        </w:rPr>
        <w:t>道路交通安全秩序的维护工作及周边道路交通违法行为的查处；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color w:val="auto"/>
          <w:kern w:val="2"/>
          <w:sz w:val="32"/>
          <w:szCs w:val="32"/>
          <w:lang w:val="en-US" w:eastAsia="zh-CN" w:bidi="ar-SA"/>
        </w:rPr>
      </w:pPr>
      <w:r>
        <w:rPr>
          <w:rFonts w:hint="eastAsia" w:ascii="宋体" w:hAnsi="宋体" w:eastAsia="方正仿宋_GBK" w:cs="方正仿宋_GBK"/>
          <w:color w:val="auto"/>
          <w:kern w:val="2"/>
          <w:sz w:val="32"/>
          <w:szCs w:val="32"/>
          <w:lang w:val="en-US" w:eastAsia="zh-CN" w:bidi="ar-SA"/>
        </w:rPr>
        <w:t>　　市消防救援大队负责消防安全监管工作；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color w:val="auto"/>
          <w:kern w:val="2"/>
          <w:sz w:val="32"/>
          <w:szCs w:val="32"/>
          <w:lang w:val="en-US" w:eastAsia="zh-CN" w:bidi="ar-SA"/>
        </w:rPr>
      </w:pPr>
      <w:r>
        <w:rPr>
          <w:rFonts w:hint="eastAsia" w:ascii="宋体" w:hAnsi="宋体" w:eastAsia="方正仿宋_GBK" w:cs="方正仿宋_GBK"/>
          <w:color w:val="auto"/>
          <w:kern w:val="2"/>
          <w:sz w:val="32"/>
          <w:szCs w:val="32"/>
          <w:lang w:val="en-US" w:eastAsia="zh-CN" w:bidi="ar-SA"/>
        </w:rPr>
        <w:t>　　市场监督管理局负责食品安全、广告宣传、知识产权的监管等工作；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color w:val="auto"/>
          <w:kern w:val="2"/>
          <w:sz w:val="32"/>
          <w:szCs w:val="32"/>
          <w:lang w:val="en-US" w:eastAsia="zh-CN" w:bidi="ar-SA"/>
        </w:rPr>
      </w:pPr>
      <w:r>
        <w:rPr>
          <w:rFonts w:hint="eastAsia" w:ascii="宋体" w:hAnsi="宋体" w:eastAsia="方正仿宋_GBK" w:cs="方正仿宋_GBK"/>
          <w:color w:val="auto"/>
          <w:kern w:val="2"/>
          <w:sz w:val="32"/>
          <w:szCs w:val="32"/>
          <w:lang w:val="en-US" w:eastAsia="zh-CN" w:bidi="ar-SA"/>
        </w:rPr>
        <w:t>　　市卫生健康局、市住建局、市应急管理局、市商务局、景洪市文化和旅游局</w:t>
      </w:r>
      <w:r>
        <w:rPr>
          <w:rFonts w:hint="eastAsia" w:ascii="宋体" w:hAnsi="宋体" w:eastAsia="方正仿宋_GBK" w:cs="方正仿宋_GBK"/>
          <w:color w:val="000000" w:themeColor="text1"/>
          <w:kern w:val="2"/>
          <w:sz w:val="32"/>
          <w:szCs w:val="32"/>
          <w:lang w:val="en-US" w:eastAsia="zh-CN" w:bidi="ar-SA"/>
          <w14:textFill>
            <w14:solidFill>
              <w14:schemeClr w14:val="tx1"/>
            </w14:solidFill>
          </w14:textFill>
        </w:rPr>
        <w:t>、西双版纳州生态环境局景洪分局等</w:t>
      </w:r>
      <w:r>
        <w:rPr>
          <w:rFonts w:hint="eastAsia" w:ascii="宋体" w:hAnsi="宋体" w:eastAsia="方正仿宋_GBK" w:cs="方正仿宋_GBK"/>
          <w:color w:val="auto"/>
          <w:kern w:val="2"/>
          <w:sz w:val="32"/>
          <w:szCs w:val="32"/>
          <w:lang w:val="en-US" w:eastAsia="zh-CN" w:bidi="ar-SA"/>
        </w:rPr>
        <w:t>其他部门依职责开展相关监管、指导工作。</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right="0" w:rightChars="0" w:firstLine="2249" w:firstLineChars="700"/>
        <w:jc w:val="left"/>
        <w:textAlignment w:val="auto"/>
        <w:rPr>
          <w:rFonts w:hint="eastAsia" w:ascii="宋体" w:hAnsi="宋体" w:eastAsia="方正仿宋_GBK" w:cs="方正仿宋_GBK"/>
          <w:b/>
          <w:bCs/>
          <w:kern w:val="2"/>
          <w:sz w:val="32"/>
          <w:szCs w:val="32"/>
          <w:lang w:val="en-US" w:eastAsia="zh-CN" w:bidi="ar-SA"/>
        </w:rPr>
      </w:pPr>
      <w:r>
        <w:rPr>
          <w:rFonts w:hint="eastAsia" w:ascii="宋体" w:hAnsi="宋体" w:eastAsia="方正仿宋_GBK" w:cs="方正仿宋_GBK"/>
          <w:b/>
          <w:bCs/>
          <w:kern w:val="2"/>
          <w:sz w:val="32"/>
          <w:szCs w:val="32"/>
          <w:lang w:val="en-US" w:eastAsia="zh-CN" w:bidi="ar-SA"/>
        </w:rPr>
        <w:t>第二章 场所划定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第七条 由各街道办事处指导社区居委会提出划定意向，经过现场调研、征求意见、综合评估后形成初步方案，提交社区居民议事会充分议事协商后确定正式方案，经公示无异议后报街道办事处审定，并由街道办事处对外发布，同时抄送市区各行政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第八条 社区居委会结合辖区占道摆卖和区域生活商业配套情况，对辖区内摊贩经营现状进行摸底调查，了解摊贩数量、经营种类、分布区域、经营时间等信息，有划定意向的，报街道办事处。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第九条 社区居委会组织拟划定摊贩经营场所的产权单位、周边的业委会和物业管理处等利益相关方，以及城市管理、市场监管等相关部门代表，对拟选址划定摊贩经营场所的点位开展现场调研，分析研究科学性和合理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第十条 社区居委会采取征求意见表、业主微信群等“线上+线下”多种方式，对拟划定的摊贩经营场所广泛征求周边商户、居民的意见建议。对提出的反对意见，做好解释说明；对可行性意见建议，予以研究采纳。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第十一条 社区居委会结合现场调研和征求意见情况，综合评估划定摊贩经营场所的必要性和可行性，确定划定的，制定摊贩经营场所划定和管理初步方案。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第十二条 初步方案应包括：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（一）区域范围、场地面积、摊位数量；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（二）场所设置具体安排和效果图；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（三）经营业态、经营时间；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（四）摊贩入场、轮候和退出机制；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（五）拟定运维主体；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（六）运维管理要求；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（七）涉及费用说明；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（八）其他需要明确的事项。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第十三条 摊贩经营场所选址划定应当符合以下要求：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（一）不得选址于规划确定的高速公路、快速路、干线型主干道及两侧、城市主干路及两侧；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（二）不得距离地铁出入口50米范围内，不得距离幼儿园、中小学校和医院200米范围内；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（三）不得选址机场、口岸、火车站、高铁站等重要门户和交通枢纽周边；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（四）不得破坏行道树及其附属设施，不得影响交通设施；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（五）不得埋压、圈占、遮挡消火栓或者占用防火间距，不得占用、堵塞、封闭疏散通道、安全出口、消防车通道、消防车登高操作场地；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（六）不得搭建永久性、不可拆卸移动的建（构）筑物和乱拉电线或超负荷用电；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（七）不得擅自占用绿地、公共停车泊位和非机动车停放区域，不得擅自占用人行道和公共场地；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（八）不得违反其他法律法规规章或规范性文件规定的禁止性行为。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第十四条 社区居委会组织召开社区居民议事会协商讨论初步方案，经表决通过后形成正式方案。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firstLine="651"/>
        <w:jc w:val="both"/>
        <w:textAlignment w:val="auto"/>
        <w:rPr>
          <w:rFonts w:hint="eastAsia" w:ascii="宋体" w:hAnsi="宋体" w:eastAsia="方正仿宋_GBK" w:cs="方正仿宋_GBK"/>
          <w:color w:val="auto"/>
          <w:kern w:val="2"/>
          <w:sz w:val="32"/>
          <w:szCs w:val="32"/>
          <w:lang w:val="en-US" w:eastAsia="zh-CN" w:bidi="ar-SA"/>
        </w:rPr>
      </w:pPr>
      <w:r>
        <w:rPr>
          <w:rFonts w:hint="eastAsia" w:ascii="宋体" w:hAnsi="宋体" w:eastAsia="方正仿宋_GBK" w:cs="方正仿宋_GBK"/>
          <w:kern w:val="2"/>
          <w:sz w:val="32"/>
          <w:szCs w:val="32"/>
          <w:lang w:val="en-US" w:eastAsia="zh-CN" w:bidi="ar-SA"/>
        </w:rPr>
        <w:t>第十五条 社区居委会应在辖区显要位置将正式方案进行公示，公示期不少于5个工作日。公示期间有异议的，社区居委会应组织相关部门进行核实处理，并根据核实处理结果对正式方案进行优化调整；公示期满无异议的，社区居委会将正式方案报街道</w:t>
      </w:r>
      <w:r>
        <w:rPr>
          <w:rFonts w:hint="eastAsia" w:ascii="宋体" w:hAnsi="宋体" w:eastAsia="方正仿宋_GBK" w:cs="方正仿宋_GBK"/>
          <w:color w:val="000000" w:themeColor="text1"/>
          <w:kern w:val="2"/>
          <w:sz w:val="32"/>
          <w:szCs w:val="32"/>
          <w:lang w:val="en-US" w:eastAsia="zh-CN" w:bidi="ar-SA"/>
          <w14:textFill>
            <w14:solidFill>
              <w14:schemeClr w14:val="tx1"/>
            </w14:solidFill>
          </w14:textFill>
        </w:rPr>
        <w:t>办事处审定后，由街道办事处对外发布，同时抄送各行政部门。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firstLine="651"/>
        <w:jc w:val="center"/>
        <w:textAlignment w:val="auto"/>
        <w:rPr>
          <w:rFonts w:hint="eastAsia" w:ascii="宋体" w:hAnsi="宋体" w:eastAsia="方正仿宋_GBK" w:cs="方正仿宋_GBK"/>
          <w:b/>
          <w:bCs/>
          <w:kern w:val="2"/>
          <w:sz w:val="32"/>
          <w:szCs w:val="32"/>
          <w:lang w:val="en-US" w:eastAsia="zh-CN" w:bidi="ar-SA"/>
        </w:rPr>
      </w:pPr>
      <w:r>
        <w:rPr>
          <w:rFonts w:hint="eastAsia" w:ascii="宋体" w:hAnsi="宋体" w:eastAsia="方正仿宋_GBK" w:cs="方正仿宋_GBK"/>
          <w:b/>
          <w:bCs/>
          <w:kern w:val="2"/>
          <w:sz w:val="32"/>
          <w:szCs w:val="32"/>
          <w:lang w:val="en-US" w:eastAsia="zh-CN" w:bidi="ar-SA"/>
        </w:rPr>
        <w:t>第三章 场所管理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firstLine="64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第十六条 根据正式方案内容，各街道办事处统筹安排，对划定摊位区域进行布置。按需设置区域围栏、分类分区标识标牌、信息公开栏等，配备消防器材、垃圾桶、遮阳棚等基础设施，并在区域内设置相应便民告示。告示内容包括经营区域范围、营业时间、经营业态、管理主体、运维主体、有效期限、监督投诉电话等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firstLine="640"/>
        <w:jc w:val="both"/>
        <w:textAlignment w:val="auto"/>
        <w:rPr>
          <w:rFonts w:hint="default"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第十七条 各街道、社区落实监督商铺、摊贩履行“门前三包”的责任制度。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第十八条 根据正式方案中的摊贩入场机制，确定可入场摊贩。入场摊贩需与运维主体签订责任书后方可入场经营。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第十九条 运维主体应与街道办事处、社区居委会签订三方责任书，建立日常管理制度，按照街道办事处和相关部门要求，落实场所环境卫生、消防安全、食品安全等日常检查和管理。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第二十条 确定入场摊贩后，各街道办事处应充分发挥社区居民自治优势，倡导摊贩经营自我管理、自我服务、自我教育、自我监督，引导成立摊贩自治组织，制定自治公约，加强交流协商，逐步实现摊贩经营场所自治自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第二十一条 摊贩经营场所划定和管理应坚持公开透明原则，自觉接受社会监督，畅通监督渠道，广泛听取“两代表一委员”、市民群众和新闻媒体的意见建议。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第二十二条 各街道办事处应当每年对摊贩经营场所的经营秩序、环境卫生、居民满意度等方面进行评估，评估未达标且整改不到位的，应予以取消。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第二十三条 入场经营摊贩应当遵守以下规范：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（一）遵守相关法律法规及场所管理制度，服从管理、合法经营、安全有序、文明和谐；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（二）应由本人经营，不得转让、出租、出借摊位；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（三）在场所内从事生产经营活动、销售产品、食品，应按照法律法规相关规定实施，保证生产经营活动合法有序，销售的产品、食品应安全、卫生、无毒、无害；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（四）在规定摊位、规定时间经营，不得随意更换经营地点，不得超出经营范围；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五）保持市容环境卫生整洁，提倡使用清洁环保安全能源，产生油烟的须降低或者消除对周边环境的影响。严禁使用存在较大风险的生产工具，严禁高音宣传，不得产生异味、光污染以及固体废弃物等污染源影响周围环境及干扰他人正常生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（六）因城市规划调整、城市管理、交通管理、重大活动安全保障等需要对划定摊贩经营区域进行调整的，应当及时清理占用现场并恢复原状。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第二十四条 摊贩经营场所内不得出现以下行为：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（一）违反食品卫生、消防安全、市容管理等规定；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（二）超出划定经营区域、时间或业态范围经营；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（三）破坏市政、交通设施，占用消防通道；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color w:val="000000" w:themeColor="text1"/>
          <w:kern w:val="2"/>
          <w:sz w:val="32"/>
          <w:szCs w:val="32"/>
          <w:lang w:val="en-US" w:eastAsia="zh-CN" w:bidi="ar-SA"/>
          <w14:textFill>
            <w14:solidFill>
              <w14:schemeClr w14:val="tx1"/>
            </w14:solidFill>
          </w14:textFill>
        </w:rPr>
      </w:pPr>
      <w:r>
        <w:rPr>
          <w:rFonts w:hint="eastAsia" w:ascii="宋体" w:hAnsi="宋体" w:eastAsia="方正仿宋_GBK" w:cs="方正仿宋_GBK"/>
          <w:kern w:val="2"/>
          <w:sz w:val="32"/>
          <w:szCs w:val="32"/>
          <w:lang w:val="en-US" w:eastAsia="zh-CN" w:bidi="ar-SA"/>
        </w:rPr>
        <w:t>　</w:t>
      </w:r>
      <w:r>
        <w:rPr>
          <w:rFonts w:hint="eastAsia" w:ascii="宋体" w:hAnsi="宋体" w:eastAsia="方正仿宋_GBK" w:cs="方正仿宋_GBK"/>
          <w:color w:val="000000" w:themeColor="text1"/>
          <w:kern w:val="2"/>
          <w:sz w:val="32"/>
          <w:szCs w:val="32"/>
          <w:lang w:val="en-US" w:eastAsia="zh-CN" w:bidi="ar-SA"/>
          <w14:textFill>
            <w14:solidFill>
              <w14:schemeClr w14:val="tx1"/>
            </w14:solidFill>
          </w14:textFill>
        </w:rPr>
        <w:t>　（四）其他违反法律法规或划定和管理规范的行为。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color w:val="000000" w:themeColor="text1"/>
          <w:kern w:val="2"/>
          <w:sz w:val="32"/>
          <w:szCs w:val="32"/>
          <w:lang w:val="en-US" w:eastAsia="zh-CN" w:bidi="ar-SA"/>
          <w14:textFill>
            <w14:solidFill>
              <w14:schemeClr w14:val="tx1"/>
            </w14:solidFill>
          </w14:textFill>
        </w:rPr>
      </w:pPr>
      <w:r>
        <w:rPr>
          <w:rFonts w:hint="eastAsia" w:ascii="宋体" w:hAnsi="宋体" w:eastAsia="方正仿宋_GBK" w:cs="方正仿宋_GBK"/>
          <w:color w:val="000000" w:themeColor="text1"/>
          <w:kern w:val="2"/>
          <w:sz w:val="32"/>
          <w:szCs w:val="32"/>
          <w:lang w:val="en-US" w:eastAsia="zh-CN" w:bidi="ar-SA"/>
          <w14:textFill>
            <w14:solidFill>
              <w14:schemeClr w14:val="tx1"/>
            </w14:solidFill>
          </w14:textFill>
        </w:rPr>
        <w:t>　　违反前款规定的，属于入场经营摊贩行为的，由管理部门责令限期整改，整改不到位或拒不整改的，将违法线索移交相关部门进行查处。经查处仍不整改、不服从管理的，由社区居委会予以清退。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firstLine="651"/>
        <w:jc w:val="center"/>
        <w:textAlignment w:val="auto"/>
        <w:rPr>
          <w:rFonts w:hint="eastAsia" w:ascii="宋体" w:hAnsi="宋体" w:eastAsia="方正仿宋_GBK" w:cs="方正仿宋_GBK"/>
          <w:b/>
          <w:bCs/>
          <w:kern w:val="2"/>
          <w:sz w:val="32"/>
          <w:szCs w:val="32"/>
          <w:lang w:val="en-US" w:eastAsia="zh-CN" w:bidi="ar-SA"/>
        </w:rPr>
      </w:pPr>
      <w:r>
        <w:rPr>
          <w:rFonts w:hint="eastAsia" w:ascii="宋体" w:hAnsi="宋体" w:eastAsia="方正仿宋_GBK" w:cs="方正仿宋_GBK"/>
          <w:b/>
          <w:bCs/>
          <w:kern w:val="2"/>
          <w:sz w:val="32"/>
          <w:szCs w:val="32"/>
          <w:lang w:val="en-US" w:eastAsia="zh-CN" w:bidi="ar-SA"/>
        </w:rPr>
        <w:t>第四章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第二十五条 本办法由景洪市综合行政执法局负责解释。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60" w:afterAutospacing="0" w:line="400" w:lineRule="exact"/>
        <w:ind w:left="0" w:right="0"/>
        <w:jc w:val="both"/>
        <w:textAlignment w:val="auto"/>
        <w:rPr>
          <w:rFonts w:hint="eastAsia" w:ascii="宋体" w:hAnsi="宋体" w:eastAsia="方正仿宋_GBK" w:cs="方正仿宋_GBK"/>
          <w:kern w:val="2"/>
          <w:sz w:val="32"/>
          <w:szCs w:val="32"/>
          <w:lang w:val="en-US" w:eastAsia="zh-CN" w:bidi="ar-SA"/>
        </w:rPr>
      </w:pPr>
      <w:r>
        <w:rPr>
          <w:rFonts w:hint="eastAsia" w:ascii="宋体" w:hAnsi="宋体" w:eastAsia="方正仿宋_GBK" w:cs="方正仿宋_GBK"/>
          <w:kern w:val="2"/>
          <w:sz w:val="32"/>
          <w:szCs w:val="32"/>
          <w:lang w:val="en-US" w:eastAsia="zh-CN" w:bidi="ar-SA"/>
        </w:rPr>
        <w:t>　</w:t>
      </w:r>
    </w:p>
    <w:p>
      <w:pPr>
        <w:keepNext w:val="0"/>
        <w:keepLines w:val="0"/>
        <w:pageBreakBefore w:val="0"/>
        <w:kinsoku/>
        <w:wordWrap/>
        <w:overflowPunct/>
        <w:topLinePunct w:val="0"/>
        <w:autoSpaceDE/>
        <w:autoSpaceDN/>
        <w:bidi w:val="0"/>
        <w:adjustRightInd/>
        <w:snapToGrid/>
        <w:spacing w:beforeAutospacing="0" w:line="400" w:lineRule="exact"/>
        <w:textAlignment w:val="auto"/>
        <w:rPr>
          <w:rFonts w:hint="eastAsia" w:ascii="宋体" w:hAnsi="宋体" w:eastAsia="方正仿宋_GBK" w:cs="方正仿宋_GBK"/>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embedRegular r:id="rId1" w:fontKey="{4A59F729-EBE6-4B08-A04C-A4F12D393370}"/>
  </w:font>
  <w:font w:name="方正仿宋_GBK">
    <w:panose1 w:val="03000509000000000000"/>
    <w:charset w:val="86"/>
    <w:family w:val="script"/>
    <w:pitch w:val="default"/>
    <w:sig w:usb0="00000001" w:usb1="080E0000" w:usb2="00000000" w:usb3="00000000" w:csb0="00040000" w:csb1="00000000"/>
    <w:embedRegular r:id="rId2" w:fontKey="{8AC76264-7F0D-4855-BC79-188D26A64BA9}"/>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4AD6F5C"/>
    <w:multiLevelType w:val="singleLevel"/>
    <w:tmpl w:val="D4AD6F5C"/>
    <w:lvl w:ilvl="0" w:tentative="0">
      <w:start w:val="1"/>
      <w:numFmt w:val="chineseCounting"/>
      <w:suff w:val="space"/>
      <w:lvlText w:val="第%1条"/>
      <w:lvlJc w:val="left"/>
      <w:rPr>
        <w:rFonts w:hint="eastAsia"/>
      </w:rPr>
    </w:lvl>
  </w:abstractNum>
  <w:abstractNum w:abstractNumId="1">
    <w:nsid w:val="7B8C3A8A"/>
    <w:multiLevelType w:val="singleLevel"/>
    <w:tmpl w:val="7B8C3A8A"/>
    <w:lvl w:ilvl="0" w:tentative="0">
      <w:start w:val="1"/>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3MDkzYzllNGNhN2ViYzQzMWJiMTAzMWFhOWI3NjUifQ=="/>
  </w:docVars>
  <w:rsids>
    <w:rsidRoot w:val="00000000"/>
    <w:rsid w:val="03F31CA2"/>
    <w:rsid w:val="04DB38A5"/>
    <w:rsid w:val="060879F3"/>
    <w:rsid w:val="0C903F2F"/>
    <w:rsid w:val="0DE43827"/>
    <w:rsid w:val="0FD83FFF"/>
    <w:rsid w:val="10A15885"/>
    <w:rsid w:val="142D71A0"/>
    <w:rsid w:val="177E16E4"/>
    <w:rsid w:val="22D75F2B"/>
    <w:rsid w:val="27A27793"/>
    <w:rsid w:val="2DC31699"/>
    <w:rsid w:val="3F357CDC"/>
    <w:rsid w:val="43E6713E"/>
    <w:rsid w:val="5AAF563E"/>
    <w:rsid w:val="6281384E"/>
    <w:rsid w:val="66FB35D6"/>
    <w:rsid w:val="67446DCC"/>
    <w:rsid w:val="68D82D23"/>
    <w:rsid w:val="699911C9"/>
    <w:rsid w:val="6B3250D5"/>
    <w:rsid w:val="6E126D75"/>
    <w:rsid w:val="7C520CA3"/>
    <w:rsid w:val="7C75451A"/>
    <w:rsid w:val="7D7B3F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contractReview xmlns="http://schemas.wps.cn/vas-ai-hub/contract-review">
  <reviewItems>
    <reviewItem>
      <errorID>c431d5ac-8d71-4a56-bd50-c38fcc50d0a5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 3FEDDE6</paraID>
      <start>30</start>
      <end>32</end>
      <status>modified</status>
      <modifiedWord>》《</modifiedWord>
      <trackRevisions>false</trackRevisions>
    </reviewItem>
    <reviewItem>
      <errorID>58190b38-504c-4c44-9c4b-360e8e3f9596</errorID>
      <errorWord>应</errorWord>
      <group>L1_Word</group>
      <groupName>字词问题</groupName>
      <ability>L2_Typo</ability>
      <abilityName>字词错误</abilityName>
      <candidateList>
        <item>应当</item>
      </candidateList>
      <explain/>
      <paraID>6F73D9E7</paraID>
      <start>62</start>
      <end>63</end>
      <status>ignored</status>
      <modifiedWord/>
      <trackRevisions>false</trackRevisions>
    </reviewItem>
    <reviewItem>
      <errorID>92740cd3-68e3-4834-810c-3c4d1a816ae6</errorID>
      <errorWord>）须</errorWord>
      <group>L1_Word</group>
      <groupName>字词问题</groupName>
      <ability>L2_Typo</ability>
      <abilityName>字词错误</abilityName>
      <candidateList>
        <item>）</item>
      </candidateList>
      <explain/>
      <paraID> 1D38678</paraID>
      <start>4</start>
      <end>5</end>
      <status>modified</status>
      <modifiedWord>）</modifiedWord>
      <trackRevisions>false</trackRevisions>
    </reviewItem>
    <reviewItem>
      <errorID>0b65711d-d519-462c-8db6-2d9978952885</errorID>
      <errorWord>划定</errorWord>
      <group>L1_Word</group>
      <groupName>字词问题</groupName>
      <ability>L2_Typo</ability>
      <abilityName>字词错误</abilityName>
      <candidateList>
        <item>规定</item>
      </candidateList>
      <explain>❶〈动〉对某一事物做出关于方式、方法或数量、质量的决定：～产品的质量标准｜不得超过～的日期。❷〈名〉所规定的内容：关于下岗职工的安排问题，上级已经有了新的～。</explain>
      <paraID>2782B137</paraID>
      <start>14</start>
      <end>16</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266e47-3f7a-45b9-9d72-9e4edaabbfb2}">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3099</Words>
  <Characters>3102</Characters>
  <Lines>0</Lines>
  <Paragraphs>0</Paragraphs>
  <TotalTime>180</TotalTime>
  <ScaleCrop>false</ScaleCrop>
  <LinksUpToDate>false</LinksUpToDate>
  <CharactersWithSpaces>3238</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2025-12-19T00:26:00Z</dcterms:created>
  <dc:creator>Administrator</dc:creator>
  <cp:lastModifiedBy>Administrator</cp:lastModifiedBy>
  <cp:lastPrinted>2025-12-31T07:17:00Z</cp:lastPrinted>
  <dcterms:modified xsi:type="dcterms:W3CDTF">2026-01-04T02:20:46Z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KSOTemplateDocerSaveRecord">
    <vt:lpwstr>eyJoZGlkIjoiOGUwZWQ0ZDk2NjA1MDIyYzM4NmVjOWVkYjgxYzFiY2UiLCJ1c2VySWQiOiIxNTI2MjYwNzM3In0=</vt:lpwstr>
  </property>
  <property fmtid="{D5CDD505-2E9C-101B-9397-08002B2CF9AE}" pid="4" name="ICV">
    <vt:lpwstr>5613C41E468F4E679F1B471724619117_13</vt:lpwstr>
  </property>
</Properties>
</file>