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8936B">
      <w:pPr>
        <w:spacing w:after="0" w:line="200" w:lineRule="exact"/>
        <w:rPr>
          <w:color w:val="auto"/>
          <w:sz w:val="24"/>
          <w:szCs w:val="24"/>
          <w:highlight w:val="none"/>
        </w:rPr>
      </w:pPr>
    </w:p>
    <w:p w14:paraId="22A37080">
      <w:pPr>
        <w:spacing w:after="0" w:line="200" w:lineRule="exact"/>
        <w:rPr>
          <w:color w:val="auto"/>
          <w:sz w:val="24"/>
          <w:szCs w:val="24"/>
          <w:highlight w:val="none"/>
        </w:rPr>
      </w:pPr>
    </w:p>
    <w:p w14:paraId="6E3AF185">
      <w:pPr>
        <w:spacing w:after="0" w:line="200" w:lineRule="exact"/>
        <w:rPr>
          <w:color w:val="auto"/>
          <w:sz w:val="24"/>
          <w:szCs w:val="24"/>
          <w:highlight w:val="none"/>
        </w:rPr>
      </w:pPr>
    </w:p>
    <w:p w14:paraId="0B087E82">
      <w:pPr>
        <w:spacing w:after="0" w:line="200" w:lineRule="exact"/>
        <w:rPr>
          <w:color w:val="auto"/>
          <w:sz w:val="24"/>
          <w:szCs w:val="24"/>
          <w:highlight w:val="none"/>
        </w:rPr>
      </w:pPr>
    </w:p>
    <w:p w14:paraId="31AF14DA">
      <w:pPr>
        <w:spacing w:after="0" w:line="200" w:lineRule="exact"/>
        <w:rPr>
          <w:color w:val="auto"/>
          <w:sz w:val="24"/>
          <w:szCs w:val="24"/>
          <w:highlight w:val="none"/>
        </w:rPr>
      </w:pPr>
    </w:p>
    <w:p w14:paraId="0B8AE1CD">
      <w:pPr>
        <w:spacing w:after="0" w:line="200" w:lineRule="exact"/>
        <w:rPr>
          <w:color w:val="auto"/>
          <w:sz w:val="24"/>
          <w:szCs w:val="24"/>
          <w:highlight w:val="none"/>
        </w:rPr>
      </w:pPr>
    </w:p>
    <w:p w14:paraId="2FAE5ED7">
      <w:pPr>
        <w:spacing w:after="0" w:line="200" w:lineRule="exact"/>
        <w:rPr>
          <w:color w:val="auto"/>
          <w:sz w:val="24"/>
          <w:szCs w:val="24"/>
          <w:highlight w:val="none"/>
        </w:rPr>
      </w:pPr>
    </w:p>
    <w:p w14:paraId="09FC2DAF">
      <w:pPr>
        <w:spacing w:after="0" w:line="200" w:lineRule="exact"/>
        <w:rPr>
          <w:color w:val="auto"/>
          <w:sz w:val="24"/>
          <w:szCs w:val="24"/>
          <w:highlight w:val="none"/>
        </w:rPr>
      </w:pPr>
    </w:p>
    <w:p w14:paraId="32F7D548">
      <w:pPr>
        <w:spacing w:after="0" w:line="200" w:lineRule="exact"/>
        <w:rPr>
          <w:color w:val="auto"/>
          <w:sz w:val="24"/>
          <w:szCs w:val="24"/>
          <w:highlight w:val="none"/>
        </w:rPr>
      </w:pPr>
    </w:p>
    <w:p w14:paraId="64AB4240">
      <w:pPr>
        <w:spacing w:after="0" w:line="200" w:lineRule="exact"/>
        <w:rPr>
          <w:color w:val="auto"/>
          <w:sz w:val="24"/>
          <w:szCs w:val="24"/>
          <w:highlight w:val="none"/>
        </w:rPr>
      </w:pPr>
    </w:p>
    <w:p w14:paraId="0E2710EC">
      <w:pPr>
        <w:spacing w:after="0" w:line="200" w:lineRule="exact"/>
        <w:rPr>
          <w:color w:val="auto"/>
          <w:sz w:val="24"/>
          <w:szCs w:val="24"/>
          <w:highlight w:val="none"/>
        </w:rPr>
      </w:pPr>
    </w:p>
    <w:p w14:paraId="27C9F208">
      <w:pPr>
        <w:spacing w:after="0" w:line="200" w:lineRule="exact"/>
        <w:rPr>
          <w:color w:val="auto"/>
          <w:sz w:val="24"/>
          <w:szCs w:val="24"/>
          <w:highlight w:val="none"/>
        </w:rPr>
      </w:pPr>
    </w:p>
    <w:p w14:paraId="3FFA85D9">
      <w:pPr>
        <w:spacing w:after="0" w:line="200" w:lineRule="exact"/>
        <w:rPr>
          <w:color w:val="auto"/>
          <w:sz w:val="24"/>
          <w:szCs w:val="24"/>
          <w:highlight w:val="none"/>
        </w:rPr>
      </w:pPr>
    </w:p>
    <w:p w14:paraId="574024C9">
      <w:pPr>
        <w:spacing w:after="0" w:line="200" w:lineRule="exact"/>
        <w:rPr>
          <w:color w:val="auto"/>
          <w:sz w:val="24"/>
          <w:szCs w:val="24"/>
          <w:highlight w:val="none"/>
        </w:rPr>
      </w:pPr>
    </w:p>
    <w:p w14:paraId="288CE88A">
      <w:pPr>
        <w:spacing w:after="0" w:line="200" w:lineRule="exact"/>
        <w:rPr>
          <w:color w:val="auto"/>
          <w:sz w:val="24"/>
          <w:szCs w:val="24"/>
          <w:highlight w:val="none"/>
        </w:rPr>
      </w:pPr>
    </w:p>
    <w:p w14:paraId="1853C28D">
      <w:pPr>
        <w:spacing w:after="0" w:line="200" w:lineRule="exact"/>
        <w:rPr>
          <w:color w:val="auto"/>
          <w:sz w:val="24"/>
          <w:szCs w:val="24"/>
          <w:highlight w:val="none"/>
        </w:rPr>
      </w:pPr>
    </w:p>
    <w:p w14:paraId="6AB8E362">
      <w:pPr>
        <w:spacing w:after="0" w:line="200" w:lineRule="exact"/>
        <w:rPr>
          <w:color w:val="auto"/>
          <w:sz w:val="24"/>
          <w:szCs w:val="24"/>
          <w:highlight w:val="none"/>
        </w:rPr>
      </w:pPr>
    </w:p>
    <w:p w14:paraId="20A5080E">
      <w:pPr>
        <w:spacing w:after="0" w:line="200" w:lineRule="exact"/>
        <w:rPr>
          <w:color w:val="auto"/>
          <w:sz w:val="24"/>
          <w:szCs w:val="24"/>
          <w:highlight w:val="none"/>
        </w:rPr>
      </w:pPr>
    </w:p>
    <w:p w14:paraId="02FC960D">
      <w:pPr>
        <w:spacing w:after="0" w:line="200" w:lineRule="exact"/>
        <w:rPr>
          <w:color w:val="auto"/>
          <w:sz w:val="24"/>
          <w:szCs w:val="24"/>
          <w:highlight w:val="none"/>
        </w:rPr>
      </w:pPr>
    </w:p>
    <w:p w14:paraId="5B313259">
      <w:pPr>
        <w:spacing w:after="0" w:line="200" w:lineRule="exact"/>
        <w:rPr>
          <w:color w:val="auto"/>
          <w:sz w:val="24"/>
          <w:szCs w:val="24"/>
          <w:highlight w:val="none"/>
        </w:rPr>
      </w:pPr>
    </w:p>
    <w:p w14:paraId="0580713F">
      <w:pPr>
        <w:spacing w:after="0" w:line="200" w:lineRule="exact"/>
        <w:rPr>
          <w:color w:val="auto"/>
          <w:sz w:val="24"/>
          <w:szCs w:val="24"/>
          <w:highlight w:val="none"/>
        </w:rPr>
      </w:pPr>
    </w:p>
    <w:p w14:paraId="66C3A4C3">
      <w:pPr>
        <w:spacing w:after="0" w:line="200" w:lineRule="exact"/>
        <w:rPr>
          <w:color w:val="auto"/>
          <w:sz w:val="24"/>
          <w:szCs w:val="24"/>
          <w:highlight w:val="none"/>
        </w:rPr>
      </w:pPr>
    </w:p>
    <w:p w14:paraId="657BC94E">
      <w:pPr>
        <w:spacing w:after="0" w:line="312" w:lineRule="exact"/>
        <w:rPr>
          <w:color w:val="auto"/>
          <w:sz w:val="24"/>
          <w:szCs w:val="24"/>
          <w:highlight w:val="none"/>
        </w:rPr>
      </w:pPr>
    </w:p>
    <w:p w14:paraId="7A80E83F">
      <w:pPr>
        <w:spacing w:after="0"/>
        <w:jc w:val="center"/>
        <w:rPr>
          <w:rFonts w:hint="default"/>
          <w:color w:val="auto"/>
          <w:sz w:val="20"/>
          <w:szCs w:val="20"/>
          <w:highlight w:val="none"/>
          <w:lang w:val="en-US"/>
        </w:rPr>
      </w:pPr>
      <w:r>
        <w:rPr>
          <w:rFonts w:hint="eastAsia" w:ascii="宋体" w:hAnsi="宋体" w:eastAsia="宋体" w:cs="宋体"/>
          <w:b/>
          <w:bCs/>
          <w:color w:val="auto"/>
          <w:sz w:val="44"/>
          <w:szCs w:val="44"/>
          <w:highlight w:val="none"/>
          <w:lang w:eastAsia="zh-CN"/>
        </w:rPr>
        <w:t>景洪市出租车运营成本监审报告</w:t>
      </w:r>
      <w:r>
        <w:rPr>
          <w:rFonts w:hint="eastAsia" w:ascii="宋体" w:hAnsi="宋体" w:eastAsia="宋体" w:cs="宋体"/>
          <w:b/>
          <w:bCs/>
          <w:color w:val="auto"/>
          <w:sz w:val="44"/>
          <w:szCs w:val="44"/>
          <w:highlight w:val="none"/>
          <w:lang w:val="en-US" w:eastAsia="zh-CN"/>
        </w:rPr>
        <w:t>书</w:t>
      </w:r>
    </w:p>
    <w:p w14:paraId="523E00B1">
      <w:pPr>
        <w:spacing w:after="0" w:line="374" w:lineRule="exact"/>
        <w:rPr>
          <w:color w:val="auto"/>
          <w:sz w:val="24"/>
          <w:szCs w:val="24"/>
          <w:highlight w:val="none"/>
        </w:rPr>
      </w:pPr>
    </w:p>
    <w:p w14:paraId="47713847">
      <w:pPr>
        <w:spacing w:after="0" w:line="200" w:lineRule="exact"/>
        <w:rPr>
          <w:color w:val="auto"/>
          <w:sz w:val="24"/>
          <w:szCs w:val="24"/>
          <w:highlight w:val="none"/>
        </w:rPr>
      </w:pPr>
    </w:p>
    <w:p w14:paraId="05C274B9">
      <w:pPr>
        <w:spacing w:after="0" w:line="200" w:lineRule="exact"/>
        <w:rPr>
          <w:color w:val="auto"/>
          <w:sz w:val="24"/>
          <w:szCs w:val="24"/>
          <w:highlight w:val="none"/>
        </w:rPr>
      </w:pPr>
    </w:p>
    <w:p w14:paraId="467BED5E">
      <w:pPr>
        <w:spacing w:after="0" w:line="200" w:lineRule="exact"/>
        <w:rPr>
          <w:color w:val="auto"/>
          <w:sz w:val="24"/>
          <w:szCs w:val="24"/>
          <w:highlight w:val="none"/>
        </w:rPr>
      </w:pPr>
    </w:p>
    <w:p w14:paraId="2F047EF5">
      <w:pPr>
        <w:spacing w:after="0" w:line="200" w:lineRule="exact"/>
        <w:rPr>
          <w:color w:val="auto"/>
          <w:sz w:val="24"/>
          <w:szCs w:val="24"/>
          <w:highlight w:val="none"/>
        </w:rPr>
      </w:pPr>
    </w:p>
    <w:p w14:paraId="724B873F">
      <w:pPr>
        <w:spacing w:after="0" w:line="200" w:lineRule="exact"/>
        <w:rPr>
          <w:color w:val="auto"/>
          <w:sz w:val="24"/>
          <w:szCs w:val="24"/>
          <w:highlight w:val="none"/>
        </w:rPr>
      </w:pPr>
    </w:p>
    <w:p w14:paraId="25439EA0">
      <w:pPr>
        <w:spacing w:after="0" w:line="200" w:lineRule="exact"/>
        <w:rPr>
          <w:color w:val="auto"/>
          <w:sz w:val="24"/>
          <w:szCs w:val="24"/>
          <w:highlight w:val="none"/>
        </w:rPr>
      </w:pPr>
    </w:p>
    <w:p w14:paraId="5846E15A">
      <w:pPr>
        <w:spacing w:after="0" w:line="200" w:lineRule="exact"/>
        <w:rPr>
          <w:color w:val="auto"/>
          <w:sz w:val="24"/>
          <w:szCs w:val="24"/>
          <w:highlight w:val="none"/>
        </w:rPr>
      </w:pPr>
    </w:p>
    <w:p w14:paraId="2FCEDA3A">
      <w:pPr>
        <w:spacing w:after="0" w:line="200" w:lineRule="exact"/>
        <w:rPr>
          <w:color w:val="auto"/>
          <w:sz w:val="24"/>
          <w:szCs w:val="24"/>
          <w:highlight w:val="none"/>
        </w:rPr>
      </w:pPr>
    </w:p>
    <w:p w14:paraId="36268F82">
      <w:pPr>
        <w:spacing w:after="0" w:line="200" w:lineRule="exact"/>
        <w:rPr>
          <w:color w:val="auto"/>
          <w:sz w:val="24"/>
          <w:szCs w:val="24"/>
          <w:highlight w:val="none"/>
        </w:rPr>
      </w:pPr>
    </w:p>
    <w:p w14:paraId="674C4B5C">
      <w:pPr>
        <w:spacing w:after="0" w:line="200" w:lineRule="exact"/>
        <w:rPr>
          <w:color w:val="auto"/>
          <w:sz w:val="24"/>
          <w:szCs w:val="24"/>
          <w:highlight w:val="none"/>
        </w:rPr>
      </w:pPr>
    </w:p>
    <w:p w14:paraId="2F440401">
      <w:pPr>
        <w:spacing w:after="0" w:line="200" w:lineRule="exact"/>
        <w:rPr>
          <w:color w:val="auto"/>
          <w:sz w:val="24"/>
          <w:szCs w:val="24"/>
          <w:highlight w:val="none"/>
        </w:rPr>
      </w:pPr>
    </w:p>
    <w:p w14:paraId="57FEAF30">
      <w:pPr>
        <w:spacing w:after="0" w:line="200" w:lineRule="exact"/>
        <w:rPr>
          <w:color w:val="auto"/>
          <w:sz w:val="24"/>
          <w:szCs w:val="24"/>
          <w:highlight w:val="none"/>
        </w:rPr>
      </w:pPr>
    </w:p>
    <w:p w14:paraId="7F2EE95A">
      <w:pPr>
        <w:spacing w:after="0" w:line="200" w:lineRule="exact"/>
        <w:rPr>
          <w:color w:val="auto"/>
          <w:sz w:val="24"/>
          <w:szCs w:val="24"/>
          <w:highlight w:val="none"/>
        </w:rPr>
      </w:pPr>
    </w:p>
    <w:p w14:paraId="7548F86A">
      <w:pPr>
        <w:spacing w:after="0" w:line="200" w:lineRule="exact"/>
        <w:rPr>
          <w:color w:val="auto"/>
          <w:sz w:val="24"/>
          <w:szCs w:val="24"/>
          <w:highlight w:val="none"/>
        </w:rPr>
      </w:pPr>
    </w:p>
    <w:p w14:paraId="6BC36DF2">
      <w:pPr>
        <w:spacing w:after="0" w:line="200" w:lineRule="exact"/>
        <w:rPr>
          <w:color w:val="auto"/>
          <w:sz w:val="24"/>
          <w:szCs w:val="24"/>
          <w:highlight w:val="none"/>
        </w:rPr>
      </w:pPr>
    </w:p>
    <w:p w14:paraId="07A9A2B9">
      <w:pPr>
        <w:spacing w:after="0" w:line="200" w:lineRule="exact"/>
        <w:rPr>
          <w:color w:val="auto"/>
          <w:sz w:val="24"/>
          <w:szCs w:val="24"/>
          <w:highlight w:val="none"/>
        </w:rPr>
      </w:pPr>
    </w:p>
    <w:p w14:paraId="1AD74D28">
      <w:pPr>
        <w:spacing w:after="0"/>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监审单位</w:t>
      </w:r>
      <w:r>
        <w:rPr>
          <w:rFonts w:ascii="宋体" w:hAnsi="宋体" w:eastAsia="宋体" w:cs="宋体"/>
          <w:sz w:val="24"/>
          <w:szCs w:val="24"/>
          <w:highlight w:val="none"/>
        </w:rPr>
        <w:t>：</w:t>
      </w:r>
      <w:r>
        <w:rPr>
          <w:rFonts w:hint="eastAsia" w:ascii="宋体" w:hAnsi="宋体" w:eastAsia="宋体" w:cs="宋体"/>
          <w:sz w:val="24"/>
          <w:szCs w:val="24"/>
          <w:highlight w:val="none"/>
          <w:lang w:val="en-US" w:eastAsia="zh-CN"/>
        </w:rPr>
        <w:t>景洪市</w:t>
      </w:r>
      <w:r>
        <w:rPr>
          <w:rFonts w:ascii="宋体" w:hAnsi="宋体" w:eastAsia="宋体" w:cs="宋体"/>
          <w:sz w:val="24"/>
          <w:szCs w:val="24"/>
          <w:highlight w:val="none"/>
        </w:rPr>
        <w:t>交通运输局</w:t>
      </w:r>
    </w:p>
    <w:p w14:paraId="0200A608">
      <w:pPr>
        <w:spacing w:after="0"/>
        <w:jc w:val="center"/>
        <w:rPr>
          <w:rFonts w:hint="default" w:ascii="宋体" w:hAnsi="宋体" w:eastAsia="宋体" w:cs="宋体"/>
          <w:sz w:val="24"/>
          <w:szCs w:val="24"/>
          <w:highlight w:val="none"/>
          <w:lang w:val="en-US" w:eastAsia="zh-CN"/>
        </w:rPr>
      </w:pPr>
    </w:p>
    <w:p w14:paraId="4FAF8401">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二〇二五年十二月</w:t>
      </w:r>
    </w:p>
    <w:p w14:paraId="4C941F06">
      <w:pP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br w:type="page"/>
      </w:r>
    </w:p>
    <w:p w14:paraId="7035DA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000000"/>
          <w:kern w:val="2"/>
          <w:sz w:val="44"/>
          <w:szCs w:val="44"/>
          <w:highlight w:val="none"/>
          <w:lang w:val="en-US" w:eastAsia="zh-CN" w:bidi="ar-SA"/>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328F9F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000000"/>
          <w:kern w:val="2"/>
          <w:sz w:val="44"/>
          <w:szCs w:val="44"/>
          <w:highlight w:val="none"/>
          <w:lang w:val="en-US" w:eastAsia="zh-CN" w:bidi="ar-SA"/>
        </w:rPr>
        <w:sectPr>
          <w:pgSz w:w="11906" w:h="16838"/>
          <w:pgMar w:top="1440" w:right="1800" w:bottom="1440" w:left="1800" w:header="851" w:footer="992" w:gutter="0"/>
          <w:pgNumType w:fmt="decimal" w:start="1"/>
          <w:cols w:space="425" w:num="1"/>
          <w:docGrid w:type="lines" w:linePitch="312" w:charSpace="0"/>
        </w:sectPr>
      </w:pPr>
    </w:p>
    <w:p w14:paraId="747D62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000000"/>
          <w:kern w:val="2"/>
          <w:sz w:val="44"/>
          <w:szCs w:val="44"/>
          <w:highlight w:val="none"/>
          <w:lang w:val="en-US" w:eastAsia="zh-CN" w:bidi="ar-SA"/>
        </w:rPr>
      </w:pPr>
      <w:r>
        <w:rPr>
          <w:rFonts w:hint="eastAsia" w:ascii="仿宋" w:hAnsi="仿宋" w:eastAsia="仿宋" w:cs="仿宋"/>
          <w:b/>
          <w:bCs/>
          <w:color w:val="000000"/>
          <w:kern w:val="2"/>
          <w:sz w:val="44"/>
          <w:szCs w:val="44"/>
          <w:highlight w:val="none"/>
          <w:lang w:val="en-US" w:eastAsia="zh-CN" w:bidi="ar-SA"/>
        </w:rPr>
        <w:t>景洪市出租车运营成本监审报告</w:t>
      </w:r>
    </w:p>
    <w:p w14:paraId="0823FAFB">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p>
    <w:p w14:paraId="0D9D8B46">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为掌握景洪市巡游出租车运营成本情况，景洪市交通运输局委托西双版纳南正会计师事务所，根据《中华人民共和国价格法》、《政府制定价格行为规则》(国家发展改革委第7号令)、《政府制定价格成本监审办法》(国家发展改革委第8号令)等规定,对景洪市巡游出租车进行成本测算调查，现将该项目的成本监审情况综述如下：：</w:t>
      </w:r>
    </w:p>
    <w:p w14:paraId="5FE1E746">
      <w:pPr>
        <w:keepNext w:val="0"/>
        <w:keepLines w:val="0"/>
        <w:pageBreakBefore w:val="0"/>
        <w:widowControl w:val="0"/>
        <w:kinsoku/>
        <w:wordWrap/>
        <w:overflowPunct/>
        <w:topLinePunct w:val="0"/>
        <w:autoSpaceDE/>
        <w:autoSpaceDN/>
        <w:bidi w:val="0"/>
        <w:adjustRightInd/>
        <w:snapToGrid/>
        <w:spacing w:line="240" w:lineRule="auto"/>
        <w:ind w:firstLine="622" w:firstLineChars="200"/>
        <w:jc w:val="both"/>
        <w:textAlignment w:val="auto"/>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一、调查目的</w:t>
      </w:r>
    </w:p>
    <w:p w14:paraId="60EAE16E">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景洪市出租车运营成本监审。</w:t>
      </w:r>
    </w:p>
    <w:p w14:paraId="5ABFBC31">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22" w:firstLineChars="200"/>
        <w:jc w:val="both"/>
        <w:textAlignment w:val="auto"/>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成本调查依据</w:t>
      </w:r>
    </w:p>
    <w:p w14:paraId="6ADA690A">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1.《中华人民共和国价格法》；</w:t>
      </w:r>
    </w:p>
    <w:p w14:paraId="4862DB25">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2.《政府制定价格行为规则》（国家发展改革委第7号令）；</w:t>
      </w:r>
    </w:p>
    <w:p w14:paraId="38386B05">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3.《政府制定价格成本调查办法》（国家发展改革委第8号令）；</w:t>
      </w:r>
    </w:p>
    <w:p w14:paraId="43D62D53">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4.《云南省政府制定价格成本调查工作规程》；</w:t>
      </w:r>
    </w:p>
    <w:p w14:paraId="3F97B087">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5.《中华人民共和国会计法》；</w:t>
      </w:r>
    </w:p>
    <w:p w14:paraId="37BEC327">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6.财政部《企业会计准则》和《企业会计制度》等相关行业财务会计制度；</w:t>
      </w:r>
    </w:p>
    <w:p w14:paraId="7D1F18AB">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7.《云南省定价目录》（2021年版）；</w:t>
      </w:r>
    </w:p>
    <w:p w14:paraId="77FD9971">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8.《云南省定价成本调查目录》；</w:t>
      </w:r>
    </w:p>
    <w:p w14:paraId="248810BE">
      <w:pPr>
        <w:keepNext w:val="0"/>
        <w:keepLines w:val="0"/>
        <w:pageBreakBefore w:val="0"/>
        <w:widowControl w:val="0"/>
        <w:kinsoku/>
        <w:wordWrap/>
        <w:overflowPunct/>
        <w:topLinePunct w:val="0"/>
        <w:autoSpaceDE/>
        <w:autoSpaceDN/>
        <w:bidi w:val="0"/>
        <w:adjustRightInd/>
        <w:snapToGrid/>
        <w:spacing w:line="160" w:lineRule="atLeast"/>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9.《客运出租汽车运营定价成本监审办法》（试行）</w:t>
      </w:r>
      <w:r>
        <w:rPr>
          <w:rFonts w:hint="default" w:ascii="仿宋" w:hAnsi="仿宋" w:eastAsia="仿宋" w:cs="仿宋"/>
          <w:color w:val="000000"/>
          <w:kern w:val="2"/>
          <w:sz w:val="31"/>
          <w:szCs w:val="31"/>
          <w:highlight w:val="none"/>
          <w:lang w:val="en-US" w:eastAsia="zh-CN" w:bidi="ar-SA"/>
        </w:rPr>
        <w:t>（征求意见稿）</w:t>
      </w:r>
    </w:p>
    <w:p w14:paraId="1FBC3C7E">
      <w:pPr>
        <w:keepNext w:val="0"/>
        <w:keepLines w:val="0"/>
        <w:pageBreakBefore w:val="0"/>
        <w:widowControl w:val="0"/>
        <w:kinsoku/>
        <w:wordWrap/>
        <w:overflowPunct/>
        <w:topLinePunct w:val="0"/>
        <w:autoSpaceDE/>
        <w:autoSpaceDN/>
        <w:bidi w:val="0"/>
        <w:adjustRightInd/>
        <w:snapToGrid/>
        <w:spacing w:line="240" w:lineRule="auto"/>
        <w:ind w:firstLine="622" w:firstLineChars="200"/>
        <w:jc w:val="both"/>
        <w:textAlignment w:val="auto"/>
        <w:rPr>
          <w:rFonts w:hint="default"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三、成本调查原则</w:t>
      </w:r>
    </w:p>
    <w:p w14:paraId="2EE3136D">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我局除严格遵循公正、公开、科学、规范、效率的成本调查原则外，在核定成本时，还要严格坚持以下原则:</w:t>
      </w:r>
    </w:p>
    <w:p w14:paraId="24CCFB5A">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1.合法性原则</w:t>
      </w:r>
    </w:p>
    <w:p w14:paraId="0B7A53BA">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不符合《中华人民共和国会计法》《政府制定价格成本监审办法》等有关法律、行政法规和财务会计制度规定的费用不能计入成本。</w:t>
      </w:r>
    </w:p>
    <w:p w14:paraId="08143A65">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2.权责发生制原则</w:t>
      </w:r>
    </w:p>
    <w:p w14:paraId="329442CA">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凡是当期成本应负担的费用，不论款项是否支付，均应计入当期成本:凡是不属于当期成本应负担的费用，即使款项已经支付，也不能计入当期成本。</w:t>
      </w:r>
    </w:p>
    <w:p w14:paraId="262E8686">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3.相关性原则</w:t>
      </w:r>
    </w:p>
    <w:p w14:paraId="088C1263">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计入成本的费用应当与景洪市巡游出租车运营项目直接相关或者间接相关的费用，和景洪市巡游出租车运营项目无关的费用，一律不能计入其成本。</w:t>
      </w:r>
    </w:p>
    <w:p w14:paraId="322F8AF7">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4.对应性原则</w:t>
      </w:r>
    </w:p>
    <w:p w14:paraId="57F5D190">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计入成本的费用应当与景洪市巡游出租车运营项目相对应。</w:t>
      </w:r>
    </w:p>
    <w:p w14:paraId="00B5E05F">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5.合理性原则</w:t>
      </w:r>
    </w:p>
    <w:p w14:paraId="7B5954DE">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凡是计入成本的费用，应反映出租车经营活动的正常需要，并按照合理的方法和合理的标准核算。影响景洪市巡游出租车运营成本各项费用的主要技术、经济指标应当符合行业标准或社会公允水平。</w:t>
      </w:r>
    </w:p>
    <w:p w14:paraId="016FC9BA">
      <w:pPr>
        <w:spacing w:after="0"/>
        <w:ind w:left="840"/>
        <w:rPr>
          <w:rFonts w:hint="default"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四、成本调查程序</w:t>
      </w:r>
    </w:p>
    <w:p w14:paraId="7010F25A">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(一)成立成本调查组。明确项目调查负责人和调查人员，制定工作方案，安排工作步骤和日程。</w:t>
      </w:r>
    </w:p>
    <w:p w14:paraId="0FCCBB2C">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(二)资料收集。西双版纳南正会计师事务所通知监审查单位西双版纳吉迈斯旅游汽车有限公司与景洪佳通出租汽车有限责任公司准备资料，明确成本调查范围、调查形式，以及进行实地审核和问卷调查的要求等。</w:t>
      </w:r>
    </w:p>
    <w:p w14:paraId="49C6A46D">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(三)资料初审。对监审查单位西双版纳吉迈斯旅游汽车有限公司与景洪佳通出租汽车有限责任公司报送成本资料的合法性、合理性、相关性进行了初审。</w:t>
      </w:r>
    </w:p>
    <w:p w14:paraId="0A20213F">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四)实地审核。调查了解西双版纳吉迈斯旅游汽车有限公司与景洪佳通出租汽车有限责任公司旗下出租车的经营情况，查阅、复制有关资料，对出租车司机进行问卷发放。按照成本监审办法及有关规定对经营者成本进行审核。</w:t>
      </w:r>
    </w:p>
    <w:p w14:paraId="38B66C7D">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(五)研究分析。对收集到的成本数据进行全面梳理，检查数据的完整性、准确性和一致性，剔除无效或错误数据，统一数据格式和统计口径。</w:t>
      </w:r>
    </w:p>
    <w:p w14:paraId="2F054B87">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(六)出具成本调查报告。</w:t>
      </w:r>
    </w:p>
    <w:p w14:paraId="5B6A8B07">
      <w:pPr>
        <w:spacing w:after="0"/>
        <w:ind w:left="840"/>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五、基本情况</w:t>
      </w:r>
    </w:p>
    <w:p w14:paraId="08E9B493">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此次测算出租车公司共2家，分别是西双版纳吉迈斯旅游汽车有限公司（以下简称“吉迈斯”）和景洪佳通出租汽车有限责任公司（以下简称“佳通”），出租车644辆，其中：吉迈斯483辆（电车354辆，油车129辆），占总量的73%；佳通161辆（电车141辆，油车20辆），占总量的27%。</w:t>
      </w:r>
    </w:p>
    <w:p w14:paraId="6A37D9D1">
      <w:pPr>
        <w:keepNext w:val="0"/>
        <w:keepLines w:val="0"/>
        <w:pageBreakBefore w:val="0"/>
        <w:widowControl w:val="0"/>
        <w:kinsoku/>
        <w:wordWrap/>
        <w:overflowPunct/>
        <w:topLinePunct w:val="0"/>
        <w:autoSpaceDE/>
        <w:autoSpaceDN/>
        <w:bidi w:val="0"/>
        <w:adjustRightInd/>
        <w:snapToGrid/>
        <w:spacing w:line="240" w:lineRule="auto"/>
        <w:ind w:firstLine="622" w:firstLineChars="200"/>
        <w:jc w:val="both"/>
        <w:textAlignment w:val="auto"/>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六、成本调查情况</w:t>
      </w:r>
    </w:p>
    <w:p w14:paraId="2F4492E6">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1.日行驶里程：是指每日的行驶里程。</w:t>
      </w:r>
    </w:p>
    <w:p w14:paraId="5B6E8999">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两家公司非节假日平均日行驶里程为188.10公里/日/</w:t>
      </w:r>
      <w:r>
        <w:rPr>
          <w:rFonts w:ascii="宋体" w:hAnsi="宋体" w:eastAsia="宋体" w:cs="宋体"/>
          <w:color w:val="auto"/>
          <w:sz w:val="28"/>
          <w:szCs w:val="28"/>
          <w:highlight w:val="none"/>
        </w:rPr>
        <w:t>辆</w:t>
      </w:r>
      <w:r>
        <w:rPr>
          <w:rFonts w:hint="eastAsia" w:ascii="仿宋" w:hAnsi="仿宋" w:eastAsia="仿宋" w:cs="仿宋"/>
          <w:color w:val="000000"/>
          <w:kern w:val="2"/>
          <w:sz w:val="31"/>
          <w:szCs w:val="31"/>
          <w:highlight w:val="none"/>
          <w:lang w:val="en-US" w:eastAsia="zh-CN" w:bidi="ar-SA"/>
        </w:rPr>
        <w:t>。</w:t>
      </w:r>
    </w:p>
    <w:p w14:paraId="3E17F2E5">
      <w:pPr>
        <w:keepNext w:val="0"/>
        <w:keepLines w:val="0"/>
        <w:pageBreakBefore w:val="0"/>
        <w:widowControl w:val="0"/>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两家公司节假日平均日行驶里程为433.48公里/日/</w:t>
      </w:r>
      <w:r>
        <w:rPr>
          <w:rFonts w:ascii="宋体" w:hAnsi="宋体" w:eastAsia="宋体" w:cs="宋体"/>
          <w:color w:val="auto"/>
          <w:sz w:val="28"/>
          <w:szCs w:val="28"/>
          <w:highlight w:val="none"/>
        </w:rPr>
        <w:t>辆</w:t>
      </w:r>
      <w:r>
        <w:rPr>
          <w:rFonts w:hint="eastAsia" w:ascii="仿宋" w:hAnsi="仿宋" w:eastAsia="仿宋" w:cs="仿宋"/>
          <w:color w:val="000000"/>
          <w:kern w:val="2"/>
          <w:sz w:val="31"/>
          <w:szCs w:val="31"/>
          <w:highlight w:val="none"/>
          <w:lang w:val="en-US" w:eastAsia="zh-CN" w:bidi="ar-SA"/>
        </w:rPr>
        <w:t>。</w:t>
      </w:r>
    </w:p>
    <w:p w14:paraId="00ACBB0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2.载客率：是用一天有效行驶里程除以日行驶总里程。</w:t>
      </w:r>
    </w:p>
    <w:p w14:paraId="055BEC4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两家公司非节假日平均载客率40.41%。</w:t>
      </w:r>
    </w:p>
    <w:p w14:paraId="353AACD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两家公司节假日平均载客率60.17%。</w:t>
      </w:r>
    </w:p>
    <w:p w14:paraId="01E4D33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3.日均载客次数：指每日有效载客次数。</w:t>
      </w:r>
    </w:p>
    <w:p w14:paraId="1758AC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两家公司非节假日平均日均载客次数19次/</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val="en-US" w:eastAsia="zh-CN"/>
        </w:rPr>
        <w:t>日</w:t>
      </w:r>
      <w:r>
        <w:rPr>
          <w:rFonts w:hint="eastAsia" w:ascii="仿宋" w:hAnsi="仿宋" w:eastAsia="仿宋" w:cs="仿宋"/>
          <w:color w:val="000000"/>
          <w:kern w:val="2"/>
          <w:sz w:val="31"/>
          <w:szCs w:val="31"/>
          <w:highlight w:val="none"/>
          <w:lang w:val="en-US" w:eastAsia="zh-CN" w:bidi="ar-SA"/>
        </w:rPr>
        <w:t>。</w:t>
      </w:r>
    </w:p>
    <w:p w14:paraId="2FBF37D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两家公司节假日平均日均载客次数21次/</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val="en-US" w:eastAsia="zh-CN"/>
        </w:rPr>
        <w:t>日</w:t>
      </w:r>
      <w:r>
        <w:rPr>
          <w:rFonts w:hint="eastAsia" w:ascii="仿宋" w:hAnsi="仿宋" w:eastAsia="仿宋" w:cs="仿宋"/>
          <w:color w:val="000000"/>
          <w:kern w:val="2"/>
          <w:sz w:val="31"/>
          <w:szCs w:val="31"/>
          <w:highlight w:val="none"/>
          <w:lang w:val="en-US" w:eastAsia="zh-CN" w:bidi="ar-SA"/>
        </w:rPr>
        <w:t>。</w:t>
      </w:r>
    </w:p>
    <w:p w14:paraId="2131BC6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4.车辆折旧费：指按规定折旧方法计提的出租汽车折旧金额。</w:t>
      </w:r>
    </w:p>
    <w:p w14:paraId="1E343E2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两家公司旗下平均车辆折旧费29.10元/</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eastAsia="zh-CN"/>
        </w:rPr>
        <w:t>日</w:t>
      </w:r>
      <w:r>
        <w:rPr>
          <w:rFonts w:hint="eastAsia" w:ascii="仿宋" w:hAnsi="仿宋" w:eastAsia="仿宋" w:cs="仿宋"/>
          <w:color w:val="000000"/>
          <w:kern w:val="2"/>
          <w:sz w:val="31"/>
          <w:szCs w:val="31"/>
          <w:highlight w:val="none"/>
          <w:lang w:val="en-US" w:eastAsia="zh-CN" w:bidi="ar-SA"/>
        </w:rPr>
        <w:t>。</w:t>
      </w:r>
    </w:p>
    <w:p w14:paraId="4332775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5.行车燃料费：指出租汽车行驶时耗费的汽油、天然气、电费等燃料的费用。</w:t>
      </w:r>
    </w:p>
    <w:p w14:paraId="4AD1D7D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两家公司非节假日平均行车燃料费83.93元/</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eastAsia="zh-CN"/>
        </w:rPr>
        <w:t>日</w:t>
      </w:r>
      <w:r>
        <w:rPr>
          <w:rFonts w:hint="eastAsia" w:ascii="仿宋" w:hAnsi="仿宋" w:eastAsia="仿宋" w:cs="仿宋"/>
          <w:color w:val="000000"/>
          <w:kern w:val="2"/>
          <w:sz w:val="31"/>
          <w:szCs w:val="31"/>
          <w:highlight w:val="none"/>
          <w:lang w:val="en-US" w:eastAsia="zh-CN" w:bidi="ar-SA"/>
        </w:rPr>
        <w:t>。</w:t>
      </w:r>
    </w:p>
    <w:p w14:paraId="1A135DF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宋体" w:hAnsi="宋体" w:eastAsia="宋体" w:cs="宋体"/>
          <w:color w:val="auto"/>
          <w:sz w:val="28"/>
          <w:szCs w:val="28"/>
          <w:highlight w:val="none"/>
          <w:lang w:eastAsia="zh-CN"/>
        </w:rPr>
      </w:pPr>
      <w:r>
        <w:rPr>
          <w:rFonts w:hint="eastAsia" w:ascii="仿宋" w:hAnsi="仿宋" w:eastAsia="仿宋" w:cs="仿宋"/>
          <w:color w:val="000000"/>
          <w:kern w:val="2"/>
          <w:sz w:val="31"/>
          <w:szCs w:val="31"/>
          <w:highlight w:val="none"/>
          <w:lang w:val="en-US" w:eastAsia="zh-CN" w:bidi="ar-SA"/>
        </w:rPr>
        <w:t>两家公司节假日平均行车燃料费193.05元/</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eastAsia="zh-CN"/>
        </w:rPr>
        <w:t>日（</w:t>
      </w:r>
      <w:r>
        <w:rPr>
          <w:rFonts w:hint="eastAsia" w:ascii="仿宋" w:hAnsi="仿宋" w:eastAsia="仿宋" w:cs="仿宋"/>
          <w:color w:val="000000"/>
          <w:kern w:val="2"/>
          <w:sz w:val="31"/>
          <w:szCs w:val="31"/>
          <w:highlight w:val="none"/>
          <w:lang w:val="en-US" w:eastAsia="zh-CN" w:bidi="ar-SA"/>
        </w:rPr>
        <w:t>节假日行驶里程是非节假日的2.3倍</w:t>
      </w:r>
      <w:r>
        <w:rPr>
          <w:rFonts w:hint="eastAsia" w:ascii="宋体" w:hAnsi="宋体" w:eastAsia="宋体" w:cs="宋体"/>
          <w:color w:val="auto"/>
          <w:sz w:val="28"/>
          <w:szCs w:val="28"/>
          <w:highlight w:val="none"/>
          <w:lang w:eastAsia="zh-CN"/>
        </w:rPr>
        <w:t>）。</w:t>
      </w:r>
    </w:p>
    <w:p w14:paraId="0357F34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6.车辆保险费：指车辆的交强险、第三者责任险、车损险、司乘险等保费。</w:t>
      </w:r>
    </w:p>
    <w:p w14:paraId="4423BC6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宋体"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两家公司平均车辆保险费18.59元/</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eastAsia="zh-CN"/>
        </w:rPr>
        <w:t>日。</w:t>
      </w:r>
    </w:p>
    <w:p w14:paraId="6BC3FDD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7.维修保养、轮胎更换、车辆规费：维修保养指为维持或恢复出租汽车完好技术状况或工作能力和寿命，确保正常运行需要支出的费用；轮胎更换指出租汽车正常运营中更换轮胎的费用；车辆规费指依据法律法规和国家政策合法收取的与出租汽车运营有关的养路费、车辆安全检验费、计价器检测费等各项支出。</w:t>
      </w:r>
    </w:p>
    <w:p w14:paraId="4026C0A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宋体"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两家公司平均维修保养、轮胎更换、车辆规费为     16.66元/</w:t>
      </w:r>
      <w:r>
        <w:rPr>
          <w:rFonts w:ascii="宋体" w:hAnsi="宋体" w:eastAsia="宋体" w:cs="宋体"/>
          <w:color w:val="auto"/>
          <w:sz w:val="28"/>
          <w:szCs w:val="28"/>
          <w:highlight w:val="none"/>
        </w:rPr>
        <w:t>辆/</w:t>
      </w:r>
      <w:r>
        <w:rPr>
          <w:rFonts w:hint="eastAsia" w:ascii="宋体" w:hAnsi="宋体" w:eastAsia="宋体" w:cs="宋体"/>
          <w:color w:val="auto"/>
          <w:sz w:val="28"/>
          <w:szCs w:val="28"/>
          <w:highlight w:val="none"/>
          <w:lang w:eastAsia="zh-CN"/>
        </w:rPr>
        <w:t>日。</w:t>
      </w:r>
    </w:p>
    <w:p w14:paraId="3ACBDF3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8.管理费用：指出租车企业收取的管理费。</w:t>
      </w:r>
    </w:p>
    <w:p w14:paraId="41DC05F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通过两家单位历史收取数据确定本次测算管理费用吉迈斯为30,031.32元/辆/年；佳通电车31,425.00元/辆/年（其中包含特许经营权费用12,225.00元/辆），油车36,000.00元/辆/年。</w:t>
      </w:r>
    </w:p>
    <w:p w14:paraId="6D2418E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两家公司平均管理费用为87.32元/辆/日。</w:t>
      </w:r>
    </w:p>
    <w:p w14:paraId="327F5DF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9.驾驶员工资：指出租车司机一年的劳动报酬，按照交通运输业城镇私营单位在岗职工平均工资估算。</w:t>
      </w:r>
    </w:p>
    <w:p w14:paraId="00EBAB6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本次测算驾驶员工资是根据西双版纳傣族自治州统计局公布的2023年西双版纳州城镇单位在岗职工年平均工资情况确定,2023年交通运输行业平均工资为51,811.00元，按照全年8小时工作制计算每小时工资23.59元。</w:t>
      </w:r>
    </w:p>
    <w:p w14:paraId="0244C18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驾驶员非节假日工资为212.92元/日/人（按照12小时工作时长计算）。</w:t>
      </w:r>
    </w:p>
    <w:p w14:paraId="40F21B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驾驶员节假日工资为294.54元/日/人（按照16.6小时工作时长计算）。</w:t>
      </w:r>
    </w:p>
    <w:p w14:paraId="1F7761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10.驾驶员社会保障：指出租车司机一年的社会保险费用（单位承担部分）。</w:t>
      </w:r>
    </w:p>
    <w:p w14:paraId="633E7F8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本次测算依据为云南省人力资源和社会保障厅公布的《关于公布2024年度全省职工基本养老保险失业保险和工伤保险相关参数的通知》中社保缴纳基数下限，据此计算确定。</w:t>
      </w:r>
    </w:p>
    <w:p w14:paraId="64FAFC7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驾驶员社会保障为36.24元/日/人。</w:t>
      </w:r>
    </w:p>
    <w:p w14:paraId="31CCF7C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12.驾驶员劳护品、车辆内饰、洗车费：指出租车司机每年日常洗车、日常防晒防护等劳护用品费用。</w:t>
      </w:r>
    </w:p>
    <w:p w14:paraId="6D58B51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两家公司非节假日平均劳护品、车辆内饰、洗车费为10.51元/辆/日。</w:t>
      </w:r>
    </w:p>
    <w:p w14:paraId="12293E9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两家公司节假日平均劳护品、车辆内饰、洗车费为27.50元/辆/日。</w:t>
      </w:r>
    </w:p>
    <w:p w14:paraId="326B308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以上所有项目解释均取自《客运出租汽车运营定价成本监审办法》（试行）</w:t>
      </w:r>
      <w:r>
        <w:rPr>
          <w:rFonts w:hint="default" w:ascii="仿宋" w:hAnsi="仿宋" w:eastAsia="仿宋" w:cs="仿宋"/>
          <w:color w:val="000000"/>
          <w:kern w:val="2"/>
          <w:sz w:val="31"/>
          <w:szCs w:val="31"/>
          <w:highlight w:val="none"/>
          <w:lang w:val="en-US" w:eastAsia="zh-CN" w:bidi="ar-SA"/>
        </w:rPr>
        <w:t>（征求意见稿）</w:t>
      </w:r>
      <w:r>
        <w:rPr>
          <w:rFonts w:hint="eastAsia" w:ascii="仿宋" w:hAnsi="仿宋" w:eastAsia="仿宋" w:cs="仿宋"/>
          <w:color w:val="000000"/>
          <w:kern w:val="2"/>
          <w:sz w:val="31"/>
          <w:szCs w:val="31"/>
          <w:highlight w:val="none"/>
          <w:lang w:val="en-US" w:eastAsia="zh-CN" w:bidi="ar-SA"/>
        </w:rPr>
        <w:t>。</w:t>
      </w:r>
    </w:p>
    <w:p w14:paraId="167C66F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两家公司平均日运营总成本=直接成本+间接成本</w:t>
      </w:r>
    </w:p>
    <w:p w14:paraId="3F88226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非节假日未含工资每日运营成本为235.60元；非节假日含工资每日运营成本为495.28元；节假日每日运营成本为703.00元。</w:t>
      </w:r>
    </w:p>
    <w:p w14:paraId="1F3A99D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平均每辆车每公里成本=日平均总成本/日平均行驶里程</w:t>
      </w:r>
    </w:p>
    <w:p w14:paraId="02AF8A5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非节假日未含工资平均每辆车每公里成本为1.25元；非节假日含工资平均每辆车每公里成本为2.63元；节假日平均每辆车每公里成本为1.62元。</w:t>
      </w:r>
    </w:p>
    <w:p w14:paraId="570522E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4646" w:leftChars="280" w:hanging="4030" w:hangingChars="13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平均每辆车每公里载客成本=年平均总成本/年平均载客行驶里程</w:t>
      </w:r>
    </w:p>
    <w:p w14:paraId="298DD7C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非节假日未含工资平均每辆车每公里载客成本为3.10元；非节假日含工资平均每辆车每公里载客成本为6.52元；节假日平均每辆车每公里载客成本为2.70元。</w:t>
      </w:r>
    </w:p>
    <w:p w14:paraId="2D7EE8D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平均</w:t>
      </w:r>
      <w:r>
        <w:rPr>
          <w:rFonts w:hint="default" w:ascii="仿宋" w:hAnsi="仿宋" w:eastAsia="仿宋" w:cs="仿宋"/>
          <w:color w:val="000000"/>
          <w:kern w:val="2"/>
          <w:sz w:val="31"/>
          <w:szCs w:val="31"/>
          <w:highlight w:val="none"/>
          <w:lang w:val="en-US" w:eastAsia="zh-CN" w:bidi="ar-SA"/>
        </w:rPr>
        <w:t>载客</w:t>
      </w:r>
      <w:r>
        <w:rPr>
          <w:rFonts w:hint="eastAsia" w:ascii="仿宋" w:hAnsi="仿宋" w:eastAsia="仿宋" w:cs="仿宋"/>
          <w:color w:val="000000"/>
          <w:kern w:val="2"/>
          <w:sz w:val="31"/>
          <w:szCs w:val="31"/>
          <w:highlight w:val="none"/>
          <w:lang w:val="en-US" w:eastAsia="zh-CN" w:bidi="ar-SA"/>
        </w:rPr>
        <w:t>每</w:t>
      </w:r>
      <w:r>
        <w:rPr>
          <w:rFonts w:hint="default" w:ascii="仿宋" w:hAnsi="仿宋" w:eastAsia="仿宋" w:cs="仿宋"/>
          <w:color w:val="000000"/>
          <w:kern w:val="2"/>
          <w:sz w:val="31"/>
          <w:szCs w:val="31"/>
          <w:highlight w:val="none"/>
          <w:lang w:val="en-US" w:eastAsia="zh-CN" w:bidi="ar-SA"/>
        </w:rPr>
        <w:t>次定价成本</w:t>
      </w:r>
      <w:r>
        <w:rPr>
          <w:rFonts w:hint="eastAsia" w:ascii="仿宋" w:hAnsi="仿宋" w:eastAsia="仿宋" w:cs="仿宋"/>
          <w:color w:val="000000"/>
          <w:kern w:val="2"/>
          <w:sz w:val="31"/>
          <w:szCs w:val="31"/>
          <w:highlight w:val="none"/>
          <w:lang w:val="en-US" w:eastAsia="zh-CN" w:bidi="ar-SA"/>
        </w:rPr>
        <w:t>=日平均总成本/日均载客数</w:t>
      </w:r>
    </w:p>
    <w:p w14:paraId="256E71D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非节假日未含工资平均</w:t>
      </w:r>
      <w:r>
        <w:rPr>
          <w:rFonts w:hint="default" w:ascii="仿宋" w:hAnsi="仿宋" w:eastAsia="仿宋" w:cs="仿宋"/>
          <w:color w:val="000000"/>
          <w:kern w:val="2"/>
          <w:sz w:val="31"/>
          <w:szCs w:val="31"/>
          <w:highlight w:val="none"/>
          <w:lang w:val="en-US" w:eastAsia="zh-CN" w:bidi="ar-SA"/>
        </w:rPr>
        <w:t>载客</w:t>
      </w:r>
      <w:r>
        <w:rPr>
          <w:rFonts w:hint="eastAsia" w:ascii="仿宋" w:hAnsi="仿宋" w:eastAsia="仿宋" w:cs="仿宋"/>
          <w:color w:val="000000"/>
          <w:kern w:val="2"/>
          <w:sz w:val="31"/>
          <w:szCs w:val="31"/>
          <w:highlight w:val="none"/>
          <w:lang w:val="en-US" w:eastAsia="zh-CN" w:bidi="ar-SA"/>
        </w:rPr>
        <w:t>每</w:t>
      </w:r>
      <w:r>
        <w:rPr>
          <w:rFonts w:hint="default" w:ascii="仿宋" w:hAnsi="仿宋" w:eastAsia="仿宋" w:cs="仿宋"/>
          <w:color w:val="000000"/>
          <w:kern w:val="2"/>
          <w:sz w:val="31"/>
          <w:szCs w:val="31"/>
          <w:highlight w:val="none"/>
          <w:lang w:val="en-US" w:eastAsia="zh-CN" w:bidi="ar-SA"/>
        </w:rPr>
        <w:t>次定价成本</w:t>
      </w:r>
      <w:r>
        <w:rPr>
          <w:rFonts w:hint="eastAsia" w:ascii="仿宋" w:hAnsi="仿宋" w:eastAsia="仿宋" w:cs="仿宋"/>
          <w:color w:val="000000"/>
          <w:kern w:val="2"/>
          <w:sz w:val="31"/>
          <w:szCs w:val="31"/>
          <w:highlight w:val="none"/>
          <w:lang w:val="en-US" w:eastAsia="zh-CN" w:bidi="ar-SA"/>
        </w:rPr>
        <w:t>为12.40元；非节假日含工资平均</w:t>
      </w:r>
      <w:r>
        <w:rPr>
          <w:rFonts w:hint="default" w:ascii="仿宋" w:hAnsi="仿宋" w:eastAsia="仿宋" w:cs="仿宋"/>
          <w:color w:val="000000"/>
          <w:kern w:val="2"/>
          <w:sz w:val="31"/>
          <w:szCs w:val="31"/>
          <w:highlight w:val="none"/>
          <w:lang w:val="en-US" w:eastAsia="zh-CN" w:bidi="ar-SA"/>
        </w:rPr>
        <w:t>载客</w:t>
      </w:r>
      <w:r>
        <w:rPr>
          <w:rFonts w:hint="eastAsia" w:ascii="仿宋" w:hAnsi="仿宋" w:eastAsia="仿宋" w:cs="仿宋"/>
          <w:color w:val="000000"/>
          <w:kern w:val="2"/>
          <w:sz w:val="31"/>
          <w:szCs w:val="31"/>
          <w:highlight w:val="none"/>
          <w:lang w:val="en-US" w:eastAsia="zh-CN" w:bidi="ar-SA"/>
        </w:rPr>
        <w:t>每</w:t>
      </w:r>
      <w:r>
        <w:rPr>
          <w:rFonts w:hint="default" w:ascii="仿宋" w:hAnsi="仿宋" w:eastAsia="仿宋" w:cs="仿宋"/>
          <w:color w:val="000000"/>
          <w:kern w:val="2"/>
          <w:sz w:val="31"/>
          <w:szCs w:val="31"/>
          <w:highlight w:val="none"/>
          <w:lang w:val="en-US" w:eastAsia="zh-CN" w:bidi="ar-SA"/>
        </w:rPr>
        <w:t>次定价成本</w:t>
      </w:r>
      <w:r>
        <w:rPr>
          <w:rFonts w:hint="eastAsia" w:ascii="仿宋" w:hAnsi="仿宋" w:eastAsia="仿宋" w:cs="仿宋"/>
          <w:color w:val="000000"/>
          <w:kern w:val="2"/>
          <w:sz w:val="31"/>
          <w:szCs w:val="31"/>
          <w:highlight w:val="none"/>
          <w:lang w:val="en-US" w:eastAsia="zh-CN" w:bidi="ar-SA"/>
        </w:rPr>
        <w:t>为26.07元；节假日平均</w:t>
      </w:r>
      <w:r>
        <w:rPr>
          <w:rFonts w:hint="default" w:ascii="仿宋" w:hAnsi="仿宋" w:eastAsia="仿宋" w:cs="仿宋"/>
          <w:color w:val="000000"/>
          <w:kern w:val="2"/>
          <w:sz w:val="31"/>
          <w:szCs w:val="31"/>
          <w:highlight w:val="none"/>
          <w:lang w:val="en-US" w:eastAsia="zh-CN" w:bidi="ar-SA"/>
        </w:rPr>
        <w:t>载客</w:t>
      </w:r>
      <w:r>
        <w:rPr>
          <w:rFonts w:hint="eastAsia" w:ascii="仿宋" w:hAnsi="仿宋" w:eastAsia="仿宋" w:cs="仿宋"/>
          <w:color w:val="000000"/>
          <w:kern w:val="2"/>
          <w:sz w:val="31"/>
          <w:szCs w:val="31"/>
          <w:highlight w:val="none"/>
          <w:lang w:val="en-US" w:eastAsia="zh-CN" w:bidi="ar-SA"/>
        </w:rPr>
        <w:t>每</w:t>
      </w:r>
      <w:r>
        <w:rPr>
          <w:rFonts w:hint="default" w:ascii="仿宋" w:hAnsi="仿宋" w:eastAsia="仿宋" w:cs="仿宋"/>
          <w:color w:val="000000"/>
          <w:kern w:val="2"/>
          <w:sz w:val="31"/>
          <w:szCs w:val="31"/>
          <w:highlight w:val="none"/>
          <w:lang w:val="en-US" w:eastAsia="zh-CN" w:bidi="ar-SA"/>
        </w:rPr>
        <w:t>次定价成本</w:t>
      </w:r>
      <w:r>
        <w:rPr>
          <w:rFonts w:hint="eastAsia" w:ascii="仿宋" w:hAnsi="仿宋" w:eastAsia="仿宋" w:cs="仿宋"/>
          <w:color w:val="000000"/>
          <w:kern w:val="2"/>
          <w:sz w:val="31"/>
          <w:szCs w:val="31"/>
          <w:highlight w:val="none"/>
          <w:lang w:val="en-US" w:eastAsia="zh-CN" w:bidi="ar-SA"/>
        </w:rPr>
        <w:t>为33.48元。</w:t>
      </w:r>
    </w:p>
    <w:p w14:paraId="5792F6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根据目前景洪市巡游出租车收费标准估算景洪市目前出租车每公里收费为2.28元/公里。由于巡游出租车一般运营时间每日在12小时，节假日平均每日增加4.60小时，运营时间延长至16.6小时。</w:t>
      </w:r>
    </w:p>
    <w:p w14:paraId="559CD93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2" w:firstLineChars="200"/>
        <w:jc w:val="both"/>
        <w:textAlignment w:val="auto"/>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七、成本调查结论</w:t>
      </w:r>
    </w:p>
    <w:p w14:paraId="51FB868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经核实测算，景洪市巡游出租车每辆车按照目前载客情况具体运营情况如下：</w:t>
      </w:r>
    </w:p>
    <w:p w14:paraId="5300440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616" w:leftChars="280" w:firstLine="0" w:firstLineChars="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1.非节假日未含司机工资每日亏损62.30元</w:t>
      </w:r>
    </w:p>
    <w:p w14:paraId="55B43E5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2.非节假日含司机工资每日亏损321.97元</w:t>
      </w:r>
    </w:p>
    <w:p w14:paraId="5431F91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default" w:ascii="仿宋" w:hAnsi="仿宋" w:eastAsia="仿宋" w:cs="仿宋"/>
          <w:color w:val="000000"/>
          <w:kern w:val="2"/>
          <w:sz w:val="31"/>
          <w:szCs w:val="31"/>
          <w:highlight w:val="none"/>
          <w:lang w:val="en-US" w:eastAsia="zh-CN" w:bidi="ar-SA"/>
        </w:rPr>
        <w:t>3.</w:t>
      </w:r>
      <w:r>
        <w:rPr>
          <w:rFonts w:hint="eastAsia" w:ascii="仿宋" w:hAnsi="仿宋" w:eastAsia="仿宋" w:cs="仿宋"/>
          <w:color w:val="000000"/>
          <w:kern w:val="2"/>
          <w:sz w:val="31"/>
          <w:szCs w:val="31"/>
          <w:highlight w:val="none"/>
          <w:lang w:val="en-US" w:eastAsia="zh-CN" w:bidi="ar-SA"/>
        </w:rPr>
        <w:t>节假日含司机工资每日亏损361.13元</w:t>
      </w:r>
    </w:p>
    <w:p w14:paraId="16CCFC9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具体详见《成本测算表》。</w:t>
      </w:r>
    </w:p>
    <w:p w14:paraId="5C0F025D">
      <w:pPr>
        <w:keepNext w:val="0"/>
        <w:keepLines w:val="0"/>
        <w:pageBreakBefore w:val="0"/>
        <w:kinsoku/>
        <w:wordWrap/>
        <w:overflowPunct/>
        <w:topLinePunct w:val="0"/>
        <w:autoSpaceDE/>
        <w:autoSpaceDN/>
        <w:bidi w:val="0"/>
        <w:adjustRightInd/>
        <w:snapToGrid/>
        <w:spacing w:line="240" w:lineRule="auto"/>
        <w:ind w:firstLine="622" w:firstLineChars="200"/>
        <w:textAlignment w:val="auto"/>
        <w:rPr>
          <w:rFonts w:hint="eastAsia" w:ascii="仿宋" w:hAnsi="仿宋" w:eastAsia="仿宋" w:cs="仿宋"/>
          <w:b/>
          <w:bCs/>
          <w:color w:val="000000"/>
          <w:kern w:val="2"/>
          <w:sz w:val="31"/>
          <w:szCs w:val="31"/>
          <w:highlight w:val="none"/>
          <w:lang w:val="en-US" w:eastAsia="zh-CN" w:bidi="ar-SA"/>
        </w:rPr>
      </w:pPr>
      <w:r>
        <w:rPr>
          <w:rFonts w:hint="eastAsia" w:ascii="仿宋" w:hAnsi="仿宋" w:eastAsia="仿宋" w:cs="仿宋"/>
          <w:b/>
          <w:bCs/>
          <w:color w:val="000000"/>
          <w:kern w:val="2"/>
          <w:sz w:val="31"/>
          <w:szCs w:val="31"/>
          <w:highlight w:val="none"/>
          <w:lang w:val="en-US" w:eastAsia="zh-CN" w:bidi="ar-SA"/>
        </w:rPr>
        <w:t>八、其他需要说明事项</w:t>
      </w:r>
    </w:p>
    <w:p w14:paraId="7A0C8478">
      <w:pPr>
        <w:keepNext w:val="0"/>
        <w:keepLines w:val="0"/>
        <w:pageBreakBefore w:val="0"/>
        <w:kinsoku/>
        <w:wordWrap/>
        <w:overflowPunct/>
        <w:topLinePunct w:val="0"/>
        <w:autoSpaceDE/>
        <w:autoSpaceDN/>
        <w:bidi w:val="0"/>
        <w:adjustRightInd/>
        <w:snapToGrid/>
        <w:spacing w:line="240" w:lineRule="auto"/>
        <w:ind w:firstLine="620" w:firstLineChars="200"/>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（1）出租车企业提供的相关资料，其真实性由提供资料的企业负责；</w:t>
      </w:r>
    </w:p>
    <w:p w14:paraId="74C5BEA9">
      <w:pPr>
        <w:keepNext w:val="0"/>
        <w:keepLines w:val="0"/>
        <w:pageBreakBefore w:val="0"/>
        <w:kinsoku/>
        <w:wordWrap/>
        <w:overflowPunct/>
        <w:topLinePunct w:val="0"/>
        <w:autoSpaceDE/>
        <w:autoSpaceDN/>
        <w:bidi w:val="0"/>
        <w:adjustRightInd/>
        <w:snapToGrid/>
        <w:spacing w:line="240" w:lineRule="auto"/>
        <w:ind w:firstLine="620" w:firstLineChars="200"/>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（2）出租车驾驶员提供的相关资料，其真实性由提供资料的个人负责；</w:t>
      </w:r>
    </w:p>
    <w:p w14:paraId="49D4B928">
      <w:pPr>
        <w:keepNext w:val="0"/>
        <w:keepLines w:val="0"/>
        <w:pageBreakBefore w:val="0"/>
        <w:kinsoku/>
        <w:wordWrap/>
        <w:overflowPunct/>
        <w:topLinePunct w:val="0"/>
        <w:autoSpaceDE/>
        <w:autoSpaceDN/>
        <w:bidi w:val="0"/>
        <w:adjustRightInd/>
        <w:snapToGrid/>
        <w:spacing w:line="240" w:lineRule="auto"/>
        <w:ind w:firstLine="620" w:firstLineChars="200"/>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（3）本报告仅为政府价格主管部门价格决策服务。任何因使用不当产生的后果与我们无关。</w:t>
      </w:r>
    </w:p>
    <w:p w14:paraId="2EBC7007">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kern w:val="2"/>
          <w:sz w:val="31"/>
          <w:szCs w:val="31"/>
          <w:highlight w:val="none"/>
          <w:lang w:val="en-US" w:eastAsia="zh-CN" w:bidi="ar-SA"/>
        </w:rPr>
      </w:pPr>
    </w:p>
    <w:p w14:paraId="465DF108">
      <w:pPr>
        <w:keepNext w:val="0"/>
        <w:keepLines w:val="0"/>
        <w:pageBreakBefore w:val="0"/>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成本监审人员（签字）：</w:t>
      </w:r>
      <w:r>
        <w:rPr>
          <w:rFonts w:hint="eastAsia" w:ascii="仿宋" w:hAnsi="仿宋" w:eastAsia="仿宋" w:cs="仿宋"/>
          <w:color w:val="000000"/>
          <w:kern w:val="2"/>
          <w:sz w:val="31"/>
          <w:szCs w:val="31"/>
          <w:highlight w:val="none"/>
          <w:u w:val="single"/>
          <w:lang w:val="en-US" w:eastAsia="zh-CN" w:bidi="ar-SA"/>
        </w:rPr>
        <w:t xml:space="preserve"> 李文昆        </w:t>
      </w:r>
    </w:p>
    <w:p w14:paraId="43B796A6">
      <w:pPr>
        <w:keepNext w:val="0"/>
        <w:keepLines w:val="0"/>
        <w:pageBreakBefore w:val="0"/>
        <w:kinsoku/>
        <w:wordWrap/>
        <w:overflowPunct/>
        <w:topLinePunct w:val="0"/>
        <w:autoSpaceDE/>
        <w:autoSpaceDN/>
        <w:bidi w:val="0"/>
        <w:adjustRightInd/>
        <w:snapToGrid/>
        <w:spacing w:line="240" w:lineRule="auto"/>
        <w:ind w:firstLine="620" w:firstLineChars="200"/>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成本监审人员（签字）：</w:t>
      </w:r>
      <w:r>
        <w:rPr>
          <w:rFonts w:hint="eastAsia" w:ascii="仿宋" w:hAnsi="仿宋" w:eastAsia="仿宋" w:cs="仿宋"/>
          <w:color w:val="000000"/>
          <w:kern w:val="2"/>
          <w:sz w:val="31"/>
          <w:szCs w:val="31"/>
          <w:highlight w:val="none"/>
          <w:u w:val="single"/>
          <w:lang w:val="en-US" w:eastAsia="zh-CN" w:bidi="ar-SA"/>
        </w:rPr>
        <w:t xml:space="preserve"> 黄志清        </w:t>
      </w:r>
    </w:p>
    <w:p w14:paraId="6002ABE9">
      <w:pPr>
        <w:keepNext w:val="0"/>
        <w:keepLines w:val="0"/>
        <w:pageBreakBefore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p>
    <w:p w14:paraId="5A90C23F">
      <w:pPr>
        <w:keepNext w:val="0"/>
        <w:keepLines w:val="0"/>
        <w:pageBreakBefore w:val="0"/>
        <w:kinsoku/>
        <w:wordWrap/>
        <w:overflowPunct/>
        <w:topLinePunct w:val="0"/>
        <w:autoSpaceDE/>
        <w:autoSpaceDN/>
        <w:bidi w:val="0"/>
        <w:adjustRightInd/>
        <w:snapToGrid/>
        <w:spacing w:line="240" w:lineRule="auto"/>
        <w:ind w:firstLine="620" w:firstLineChars="200"/>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附件：</w:t>
      </w:r>
    </w:p>
    <w:p w14:paraId="19AF2DA0">
      <w:pPr>
        <w:keepNext w:val="0"/>
        <w:keepLines w:val="0"/>
        <w:pageBreakBefore w:val="0"/>
        <w:numPr>
          <w:ilvl w:val="0"/>
          <w:numId w:val="0"/>
        </w:numPr>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1.成本测算表</w:t>
      </w:r>
    </w:p>
    <w:p w14:paraId="10BF166A">
      <w:pPr>
        <w:keepNext w:val="0"/>
        <w:keepLines w:val="0"/>
        <w:pageBreakBefore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2.</w:t>
      </w:r>
      <w:r>
        <w:rPr>
          <w:rFonts w:hint="default" w:ascii="仿宋" w:hAnsi="仿宋" w:eastAsia="仿宋" w:cs="仿宋"/>
          <w:color w:val="000000"/>
          <w:kern w:val="2"/>
          <w:sz w:val="31"/>
          <w:szCs w:val="31"/>
          <w:highlight w:val="none"/>
          <w:lang w:val="en-US" w:eastAsia="zh-CN" w:bidi="ar-SA"/>
        </w:rPr>
        <w:t>关于景洪市出租车运价调整的成本及政策依据说明</w:t>
      </w:r>
    </w:p>
    <w:p w14:paraId="4A6C5690">
      <w:pPr>
        <w:keepNext w:val="0"/>
        <w:keepLines w:val="0"/>
        <w:pageBreakBefore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3.</w:t>
      </w:r>
      <w:r>
        <w:rPr>
          <w:rFonts w:hint="default" w:ascii="仿宋" w:hAnsi="仿宋" w:eastAsia="仿宋" w:cs="仿宋"/>
          <w:color w:val="000000"/>
          <w:kern w:val="2"/>
          <w:sz w:val="31"/>
          <w:szCs w:val="31"/>
          <w:highlight w:val="none"/>
          <w:lang w:val="en-US" w:eastAsia="zh-CN" w:bidi="ar-SA"/>
        </w:rPr>
        <w:t>出租车公司成本对比表</w:t>
      </w:r>
    </w:p>
    <w:p w14:paraId="09417CE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kern w:val="2"/>
          <w:sz w:val="31"/>
          <w:szCs w:val="31"/>
          <w:highlight w:val="none"/>
          <w:lang w:val="en-US" w:eastAsia="zh-CN" w:bidi="ar-SA"/>
        </w:rPr>
      </w:pPr>
    </w:p>
    <w:p w14:paraId="64E06049">
      <w:pPr>
        <w:keepNext w:val="0"/>
        <w:keepLines w:val="0"/>
        <w:pageBreakBefore w:val="0"/>
        <w:kinsoku/>
        <w:wordWrap/>
        <w:overflowPunct/>
        <w:topLinePunct w:val="0"/>
        <w:autoSpaceDE/>
        <w:autoSpaceDN/>
        <w:bidi w:val="0"/>
        <w:adjustRightInd/>
        <w:snapToGrid/>
        <w:spacing w:line="240" w:lineRule="auto"/>
        <w:ind w:firstLine="620" w:firstLineChars="200"/>
        <w:jc w:val="right"/>
        <w:textAlignment w:val="auto"/>
        <w:rPr>
          <w:rFonts w:hint="eastAsia" w:ascii="仿宋" w:hAnsi="仿宋" w:eastAsia="仿宋" w:cs="仿宋"/>
          <w:color w:val="000000"/>
          <w:kern w:val="2"/>
          <w:sz w:val="31"/>
          <w:szCs w:val="31"/>
          <w:highlight w:val="none"/>
          <w:lang w:val="en-US" w:eastAsia="zh-CN" w:bidi="ar-SA"/>
        </w:rPr>
      </w:pPr>
    </w:p>
    <w:p w14:paraId="04F79FF4">
      <w:pPr>
        <w:keepNext w:val="0"/>
        <w:keepLines w:val="0"/>
        <w:pageBreakBefore w:val="0"/>
        <w:kinsoku/>
        <w:wordWrap/>
        <w:overflowPunct/>
        <w:topLinePunct w:val="0"/>
        <w:autoSpaceDE/>
        <w:autoSpaceDN/>
        <w:bidi w:val="0"/>
        <w:adjustRightInd/>
        <w:snapToGrid/>
        <w:spacing w:line="240" w:lineRule="auto"/>
        <w:ind w:firstLine="620" w:firstLineChars="200"/>
        <w:jc w:val="right"/>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景洪市交通运输局</w:t>
      </w:r>
    </w:p>
    <w:p w14:paraId="0DC0578B">
      <w:pPr>
        <w:jc w:val="right"/>
        <w:rPr>
          <w:rFonts w:hint="default" w:ascii="仿宋" w:hAnsi="仿宋" w:eastAsia="仿宋" w:cs="仿宋"/>
          <w:color w:val="000000"/>
          <w:kern w:val="2"/>
          <w:sz w:val="31"/>
          <w:szCs w:val="31"/>
          <w:highlight w:val="none"/>
          <w:lang w:val="en-US" w:eastAsia="zh-CN" w:bidi="ar-SA"/>
        </w:rPr>
      </w:pPr>
      <w:r>
        <w:rPr>
          <w:rFonts w:hint="default" w:ascii="仿宋" w:hAnsi="仿宋" w:eastAsia="仿宋" w:cs="仿宋"/>
          <w:color w:val="000000"/>
          <w:kern w:val="2"/>
          <w:sz w:val="31"/>
          <w:szCs w:val="31"/>
          <w:highlight w:val="none"/>
          <w:lang w:val="en-US" w:eastAsia="zh-CN" w:bidi="ar-SA"/>
        </w:rPr>
        <w:t>202</w:t>
      </w:r>
      <w:r>
        <w:rPr>
          <w:rFonts w:hint="eastAsia" w:ascii="仿宋" w:hAnsi="仿宋" w:eastAsia="仿宋" w:cs="仿宋"/>
          <w:color w:val="000000"/>
          <w:kern w:val="2"/>
          <w:sz w:val="31"/>
          <w:szCs w:val="31"/>
          <w:highlight w:val="none"/>
          <w:lang w:val="en-US" w:eastAsia="zh-CN" w:bidi="ar-SA"/>
        </w:rPr>
        <w:t>5</w:t>
      </w:r>
      <w:r>
        <w:rPr>
          <w:rFonts w:hint="default" w:ascii="仿宋" w:hAnsi="仿宋" w:eastAsia="仿宋" w:cs="仿宋"/>
          <w:color w:val="000000"/>
          <w:kern w:val="2"/>
          <w:sz w:val="31"/>
          <w:szCs w:val="31"/>
          <w:highlight w:val="none"/>
          <w:lang w:val="en-US" w:eastAsia="zh-CN" w:bidi="ar-SA"/>
        </w:rPr>
        <w:t>年</w:t>
      </w:r>
      <w:bookmarkStart w:id="0" w:name="page5"/>
      <w:bookmarkEnd w:id="0"/>
      <w:r>
        <w:rPr>
          <w:rFonts w:hint="eastAsia" w:ascii="仿宋" w:hAnsi="仿宋" w:eastAsia="仿宋" w:cs="仿宋"/>
          <w:color w:val="000000"/>
          <w:kern w:val="2"/>
          <w:sz w:val="31"/>
          <w:szCs w:val="31"/>
          <w:highlight w:val="none"/>
          <w:lang w:val="en-US" w:eastAsia="zh-CN" w:bidi="ar-SA"/>
        </w:rPr>
        <w:t>12月29日</w:t>
      </w:r>
    </w:p>
    <w:p w14:paraId="38D132D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kern w:val="2"/>
          <w:sz w:val="31"/>
          <w:szCs w:val="31"/>
          <w:highlight w:val="none"/>
          <w:lang w:val="en-US" w:eastAsia="zh-CN" w:bidi="ar-SA"/>
        </w:rPr>
        <w:sectPr>
          <w:pgSz w:w="11906" w:h="16838"/>
          <w:pgMar w:top="1440" w:right="1800" w:bottom="1440" w:left="1800" w:header="851" w:footer="992" w:gutter="0"/>
          <w:pgNumType w:fmt="decimal" w:start="1"/>
          <w:cols w:space="425" w:num="1"/>
          <w:docGrid w:type="lines" w:linePitch="312" w:charSpace="0"/>
        </w:sectPr>
      </w:pPr>
    </w:p>
    <w:p w14:paraId="3B84CDC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kern w:val="2"/>
          <w:sz w:val="31"/>
          <w:szCs w:val="31"/>
          <w:highlight w:val="none"/>
          <w:lang w:val="en-US" w:eastAsia="zh-CN" w:bidi="ar-SA"/>
        </w:rPr>
      </w:pPr>
      <w:r>
        <w:rPr>
          <w:rFonts w:hint="eastAsia" w:ascii="仿宋" w:hAnsi="仿宋" w:eastAsia="仿宋" w:cs="仿宋"/>
          <w:color w:val="000000"/>
          <w:kern w:val="2"/>
          <w:sz w:val="31"/>
          <w:szCs w:val="31"/>
          <w:highlight w:val="none"/>
          <w:lang w:val="en-US" w:eastAsia="zh-CN" w:bidi="ar-SA"/>
        </w:rPr>
        <w:t>附件1.</w:t>
      </w:r>
    </w:p>
    <w:tbl>
      <w:tblPr>
        <w:tblStyle w:val="4"/>
        <w:tblW w:w="10463" w:type="dxa"/>
        <w:tblInd w:w="-87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16"/>
        <w:gridCol w:w="1716"/>
        <w:gridCol w:w="1275"/>
        <w:gridCol w:w="1631"/>
        <w:gridCol w:w="1012"/>
        <w:gridCol w:w="1013"/>
      </w:tblGrid>
      <w:tr w14:paraId="27DE3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463" w:type="dxa"/>
            <w:gridSpan w:val="6"/>
            <w:tcBorders>
              <w:top w:val="nil"/>
              <w:left w:val="nil"/>
              <w:bottom w:val="nil"/>
              <w:right w:val="nil"/>
            </w:tcBorders>
            <w:shd w:val="clear" w:color="auto" w:fill="auto"/>
            <w:noWrap/>
            <w:vAlign w:val="center"/>
          </w:tcPr>
          <w:p w14:paraId="34C261B2">
            <w:pPr>
              <w:keepNext w:val="0"/>
              <w:keepLines w:val="0"/>
              <w:widowControl/>
              <w:suppressLineNumbers w:val="0"/>
              <w:jc w:val="center"/>
              <w:textAlignment w:val="center"/>
              <w:rPr>
                <w:rFonts w:hint="eastAsia" w:ascii="宋体" w:hAnsi="宋体" w:eastAsia="宋体" w:cs="宋体"/>
                <w:i w:val="0"/>
                <w:iCs w:val="0"/>
                <w:color w:val="000000"/>
                <w:sz w:val="44"/>
                <w:szCs w:val="44"/>
                <w:highlight w:val="none"/>
                <w:u w:val="none"/>
              </w:rPr>
            </w:pPr>
            <w:r>
              <w:rPr>
                <w:rFonts w:hint="eastAsia" w:ascii="宋体" w:hAnsi="宋体" w:eastAsia="宋体" w:cs="宋体"/>
                <w:i w:val="0"/>
                <w:iCs w:val="0"/>
                <w:color w:val="000000"/>
                <w:kern w:val="0"/>
                <w:sz w:val="44"/>
                <w:szCs w:val="44"/>
                <w:highlight w:val="none"/>
                <w:u w:val="none"/>
                <w:lang w:val="en-US" w:eastAsia="zh-CN" w:bidi="ar"/>
              </w:rPr>
              <w:t>成本测算表</w:t>
            </w:r>
          </w:p>
        </w:tc>
      </w:tr>
      <w:tr w14:paraId="525E4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8D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项目名称</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DCA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栏次及关系</w:t>
            </w:r>
          </w:p>
        </w:tc>
        <w:tc>
          <w:tcPr>
            <w:tcW w:w="1275" w:type="dxa"/>
            <w:tcBorders>
              <w:top w:val="single" w:color="000000" w:sz="4" w:space="0"/>
              <w:left w:val="single" w:color="000000" w:sz="4" w:space="0"/>
              <w:bottom w:val="single" w:color="000000" w:sz="4" w:space="0"/>
              <w:right w:val="nil"/>
            </w:tcBorders>
            <w:shd w:val="clear" w:color="auto" w:fill="auto"/>
            <w:vAlign w:val="center"/>
          </w:tcPr>
          <w:p w14:paraId="13B036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平日未加工资 </w:t>
            </w:r>
          </w:p>
        </w:tc>
        <w:tc>
          <w:tcPr>
            <w:tcW w:w="1631" w:type="dxa"/>
            <w:tcBorders>
              <w:top w:val="single" w:color="000000" w:sz="4" w:space="0"/>
              <w:left w:val="single" w:color="000000" w:sz="4" w:space="0"/>
              <w:bottom w:val="single" w:color="000000" w:sz="4" w:space="0"/>
              <w:right w:val="nil"/>
            </w:tcBorders>
            <w:shd w:val="clear" w:color="auto" w:fill="auto"/>
            <w:vAlign w:val="center"/>
          </w:tcPr>
          <w:p w14:paraId="1FC34FE5">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平日加工资 </w:t>
            </w:r>
          </w:p>
        </w:tc>
        <w:tc>
          <w:tcPr>
            <w:tcW w:w="1012" w:type="dxa"/>
            <w:tcBorders>
              <w:top w:val="single" w:color="000000" w:sz="4" w:space="0"/>
              <w:left w:val="single" w:color="000000" w:sz="4" w:space="0"/>
              <w:bottom w:val="single" w:color="000000" w:sz="4" w:space="0"/>
              <w:right w:val="nil"/>
            </w:tcBorders>
            <w:shd w:val="clear" w:color="auto" w:fill="auto"/>
            <w:vAlign w:val="center"/>
          </w:tcPr>
          <w:p w14:paraId="1AEB5CC2">
            <w:pPr>
              <w:keepNext w:val="0"/>
              <w:keepLines w:val="0"/>
              <w:widowControl/>
              <w:suppressLineNumbers w:val="0"/>
              <w:jc w:val="center"/>
              <w:textAlignment w:val="center"/>
              <w:rPr>
                <w:color w:val="auto"/>
                <w:highlight w:val="none"/>
              </w:rPr>
            </w:pPr>
            <w:r>
              <w:rPr>
                <w:rFonts w:hint="eastAsia" w:ascii="宋体" w:hAnsi="宋体" w:eastAsia="宋体" w:cs="宋体"/>
                <w:i w:val="0"/>
                <w:iCs w:val="0"/>
                <w:color w:val="auto"/>
                <w:kern w:val="0"/>
                <w:sz w:val="22"/>
                <w:szCs w:val="22"/>
                <w:highlight w:val="none"/>
                <w:u w:val="none"/>
                <w:lang w:val="en-US" w:eastAsia="zh-CN" w:bidi="ar"/>
              </w:rPr>
              <w:t>节假日</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275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差异</w:t>
            </w:r>
          </w:p>
        </w:tc>
      </w:tr>
      <w:tr w14:paraId="520A3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2A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日均载客行驶里程（公里）</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E4E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A1=A2*A3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71A4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76.01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AEA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76.01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8FE8D">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auto"/>
                <w:kern w:val="0"/>
                <w:sz w:val="20"/>
                <w:szCs w:val="20"/>
                <w:highlight w:val="none"/>
                <w:u w:val="none"/>
                <w:lang w:val="en-US" w:eastAsia="zh-CN" w:bidi="ar"/>
              </w:rPr>
              <w:t xml:space="preserve"> 260.82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30CD">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184.82 </w:t>
            </w:r>
          </w:p>
        </w:tc>
      </w:tr>
      <w:tr w14:paraId="1C117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10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（一）行驶里程（公里）</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822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8255">
            <w:pPr>
              <w:keepNext w:val="0"/>
              <w:keepLines w:val="0"/>
              <w:widowControl/>
              <w:suppressLineNumbers w:val="0"/>
              <w:jc w:val="right"/>
              <w:textAlignment w:val="center"/>
              <w:rPr>
                <w:rFonts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188.10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CD3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188.10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CB33">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auto"/>
                <w:kern w:val="0"/>
                <w:sz w:val="20"/>
                <w:szCs w:val="20"/>
                <w:highlight w:val="none"/>
                <w:u w:val="none"/>
                <w:lang w:val="en-US" w:eastAsia="zh-CN" w:bidi="ar"/>
              </w:rPr>
              <w:t xml:space="preserve"> 433.48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EFB0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245.38 </w:t>
            </w:r>
          </w:p>
        </w:tc>
      </w:tr>
      <w:tr w14:paraId="6EEB6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C3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（二）载客率（</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A31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2E91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40.41%</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2AE0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40.41%</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2FF1">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auto"/>
                <w:kern w:val="0"/>
                <w:sz w:val="20"/>
                <w:szCs w:val="20"/>
                <w:highlight w:val="none"/>
                <w:u w:val="none"/>
                <w:lang w:val="en-US" w:eastAsia="zh-CN" w:bidi="ar"/>
              </w:rPr>
              <w:t>60.17%</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983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19.76%</w:t>
            </w:r>
          </w:p>
        </w:tc>
      </w:tr>
      <w:tr w14:paraId="2A91F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F0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日均载客次数（次</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日</w:t>
            </w:r>
            <w:r>
              <w:rPr>
                <w:rStyle w:val="8"/>
                <w:highlight w:val="none"/>
                <w:lang w:val="en-US" w:eastAsia="zh-CN" w:bidi="ar"/>
              </w:rPr>
              <w:t>)</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6A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253E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19.00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311C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19.00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6CBD">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21.00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088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2.00 </w:t>
            </w:r>
          </w:p>
        </w:tc>
      </w:tr>
      <w:tr w14:paraId="5B1D8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41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日运营总成本（元）</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77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A5=A6+A11+A14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546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235.60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9E5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495.28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5BC4">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703.00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4D4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207.72 </w:t>
            </w:r>
          </w:p>
        </w:tc>
      </w:tr>
      <w:tr w14:paraId="76E67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B0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（一）直接成本</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75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A6=A7+A8+A9+A10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D37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148.28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449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148.28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D1BE">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257.39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73C5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109.11 </w:t>
            </w:r>
          </w:p>
        </w:tc>
      </w:tr>
      <w:tr w14:paraId="7DD9E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B1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8"/>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车辆折旧费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89F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118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29.10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7879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29.10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86D9">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29.10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73A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35220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7D15">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行车燃料费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723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A8</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DEA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83.93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377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83.93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0987">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193.05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E3E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109.11 </w:t>
            </w:r>
          </w:p>
        </w:tc>
      </w:tr>
      <w:tr w14:paraId="134AF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9D6E">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3.</w:t>
            </w:r>
            <w:r>
              <w:rPr>
                <w:rFonts w:hint="eastAsia" w:ascii="宋体" w:hAnsi="宋体" w:eastAsia="宋体" w:cs="宋体"/>
                <w:i w:val="0"/>
                <w:iCs w:val="0"/>
                <w:color w:val="000000"/>
                <w:kern w:val="0"/>
                <w:sz w:val="20"/>
                <w:szCs w:val="20"/>
                <w:highlight w:val="none"/>
                <w:u w:val="none"/>
                <w:lang w:val="en-US" w:eastAsia="zh-CN" w:bidi="ar"/>
              </w:rPr>
              <w:t>车辆保险费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954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A9</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A17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18.59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485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18.59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D737">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18.59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851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5E264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ACCA">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4.</w:t>
            </w:r>
            <w:r>
              <w:rPr>
                <w:rFonts w:hint="eastAsia" w:ascii="宋体" w:hAnsi="宋体" w:eastAsia="宋体" w:cs="宋体"/>
                <w:i w:val="0"/>
                <w:iCs w:val="0"/>
                <w:color w:val="000000"/>
                <w:kern w:val="0"/>
                <w:sz w:val="20"/>
                <w:szCs w:val="20"/>
                <w:highlight w:val="none"/>
                <w:u w:val="none"/>
                <w:lang w:val="en-US" w:eastAsia="zh-CN" w:bidi="ar"/>
              </w:rPr>
              <w:t>维修保养</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轮胎更换</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车辆规费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EE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7F71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16.66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490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16.66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F92B">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16.66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BFA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463EC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2E72">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（二）间接成本</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EC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A11=A12+A13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564B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BF2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E489">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C32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5AAC5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1D3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8"/>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管理费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31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FCA2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CE6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261B">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87.32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93D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51DE9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AFDBE">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特许经营权费用（出租车运营权）</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23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565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BB89A">
            <w:pPr>
              <w:jc w:val="right"/>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8A76">
            <w:pPr>
              <w:jc w:val="right"/>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2C9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62C24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A626">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（三）非运营成本</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25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A14=A15+A16+A17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675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AEED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259.68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7C289">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358.28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CAA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98.61 </w:t>
            </w:r>
          </w:p>
        </w:tc>
      </w:tr>
      <w:tr w14:paraId="06F28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05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8"/>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驾驶员工资</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46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506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6A9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212.92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BC8D5">
            <w:pPr>
              <w:keepNext w:val="0"/>
              <w:keepLines w:val="0"/>
              <w:widowControl/>
              <w:suppressLineNumbers w:val="0"/>
              <w:jc w:val="right"/>
              <w:textAlignment w:val="center"/>
              <w:rPr>
                <w:color w:val="auto"/>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294.54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38A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81.62 </w:t>
            </w:r>
          </w:p>
        </w:tc>
      </w:tr>
      <w:tr w14:paraId="676ED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B3D6">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驾驶员社会保障</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05A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DF0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317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36.24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2972">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36.24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1A56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0F059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915D">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Style w:val="8"/>
                <w:highlight w:val="none"/>
                <w:lang w:val="en-US" w:eastAsia="zh-CN" w:bidi="ar"/>
              </w:rPr>
              <w:t>3.</w:t>
            </w:r>
            <w:r>
              <w:rPr>
                <w:rFonts w:hint="eastAsia" w:ascii="宋体" w:hAnsi="宋体" w:eastAsia="宋体" w:cs="宋体"/>
                <w:i w:val="0"/>
                <w:iCs w:val="0"/>
                <w:color w:val="000000"/>
                <w:kern w:val="0"/>
                <w:sz w:val="20"/>
                <w:szCs w:val="20"/>
                <w:highlight w:val="none"/>
                <w:u w:val="none"/>
                <w:lang w:val="en-US" w:eastAsia="zh-CN" w:bidi="ar"/>
              </w:rPr>
              <w:t>驾驶员劳护品</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车辆内饰</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洗车费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F9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EC8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EB2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10.51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3073">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27.50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5B10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16.99 </w:t>
            </w:r>
          </w:p>
        </w:tc>
      </w:tr>
      <w:tr w14:paraId="1CFE7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B322">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单位日里程运价成本</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元</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公里</w:t>
            </w:r>
            <w:r>
              <w:rPr>
                <w:rStyle w:val="8"/>
                <w:highlight w:val="none"/>
                <w:lang w:val="en-US" w:eastAsia="zh-CN" w:bidi="ar"/>
              </w:rPr>
              <w:t>)</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BA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A18=A5/A2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51B3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1.25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63C9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2.63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2A46">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1.62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74FD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-1.01 </w:t>
            </w:r>
          </w:p>
        </w:tc>
      </w:tr>
      <w:tr w14:paraId="74A7F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BC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单位载客公里定价成本（元</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公里）</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3D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A19=A5/A1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151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3.10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1FF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6.52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D2FC">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2.70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BC53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-3.82 </w:t>
            </w:r>
          </w:p>
        </w:tc>
      </w:tr>
      <w:tr w14:paraId="266F1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0B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单位载客车次定价成本（元</w:t>
            </w:r>
            <w:r>
              <w:rPr>
                <w:rStyle w:val="8"/>
                <w:highlight w:val="none"/>
                <w:lang w:val="en-US" w:eastAsia="zh-CN" w:bidi="ar"/>
              </w:rPr>
              <w:t>/</w:t>
            </w:r>
            <w:r>
              <w:rPr>
                <w:rFonts w:hint="eastAsia" w:ascii="宋体" w:hAnsi="宋体" w:eastAsia="宋体" w:cs="宋体"/>
                <w:i w:val="0"/>
                <w:iCs w:val="0"/>
                <w:color w:val="000000"/>
                <w:kern w:val="0"/>
                <w:sz w:val="20"/>
                <w:szCs w:val="20"/>
                <w:highlight w:val="none"/>
                <w:u w:val="none"/>
                <w:lang w:val="en-US" w:eastAsia="zh-CN" w:bidi="ar"/>
              </w:rPr>
              <w:t>次）</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EF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A20=A5/A4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1098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12.40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453E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26.07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E364">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33.48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FA5F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7.41 </w:t>
            </w:r>
          </w:p>
        </w:tc>
      </w:tr>
      <w:tr w14:paraId="390CE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CE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每公里收费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4A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A21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ADB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2.28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F80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2.28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09F0">
            <w:pPr>
              <w:keepNext w:val="0"/>
              <w:keepLines w:val="0"/>
              <w:widowControl/>
              <w:suppressLineNumbers w:val="0"/>
              <w:jc w:val="right"/>
              <w:textAlignment w:val="center"/>
              <w:rPr>
                <w:highlight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2.28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4AF8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128B3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B250">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日均收入</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D1388">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A22=A21*A1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2984">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173.30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8692">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173.30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2D15">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341.86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34C4">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r w14:paraId="1255B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BA7C">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日均收支差异</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C3E9">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A23=A22-A5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ACCC">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-62.30 </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F323">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-321.97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E199">
            <w:pPr>
              <w:keepNext w:val="0"/>
              <w:keepLines w:val="0"/>
              <w:widowControl/>
              <w:suppressLineNumbers w:val="0"/>
              <w:jc w:val="right"/>
              <w:textAlignment w:val="center"/>
              <w:rPr>
                <w:rFonts w:hint="default" w:ascii="Arial Narrow" w:hAnsi="Arial Narrow" w:eastAsia="Arial Narrow" w:cs="Arial Narrow"/>
                <w:i w:val="0"/>
                <w:iCs w:val="0"/>
                <w:color w:val="000000"/>
                <w:kern w:val="0"/>
                <w:sz w:val="20"/>
                <w:szCs w:val="20"/>
                <w:highlight w:val="none"/>
                <w:u w:val="none"/>
                <w:lang w:val="en-US" w:eastAsia="zh-CN" w:bidi="ar"/>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-361.13 </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08B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highlight w:val="none"/>
                <w:u w:val="none"/>
              </w:rPr>
            </w:pPr>
            <w:r>
              <w:rPr>
                <w:rFonts w:hint="default" w:ascii="Arial Narrow" w:hAnsi="Arial Narrow" w:eastAsia="Arial Narrow" w:cs="Arial Narrow"/>
                <w:i w:val="0"/>
                <w:iCs w:val="0"/>
                <w:color w:val="000000"/>
                <w:kern w:val="0"/>
                <w:sz w:val="20"/>
                <w:szCs w:val="20"/>
                <w:highlight w:val="none"/>
                <w:u w:val="none"/>
                <w:lang w:val="en-US" w:eastAsia="zh-CN" w:bidi="ar"/>
              </w:rPr>
              <w:t xml:space="preserve"> -   </w:t>
            </w:r>
          </w:p>
        </w:tc>
      </w:tr>
    </w:tbl>
    <w:p w14:paraId="6C4B032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kern w:val="2"/>
          <w:sz w:val="21"/>
          <w:szCs w:val="21"/>
          <w:highlight w:val="none"/>
          <w:lang w:val="en-US" w:eastAsia="zh-CN" w:bidi="ar-SA"/>
        </w:rPr>
      </w:pPr>
      <w:r>
        <w:rPr>
          <w:rFonts w:hint="default" w:ascii="仿宋" w:hAnsi="仿宋" w:eastAsia="仿宋" w:cs="仿宋"/>
          <w:color w:val="000000"/>
          <w:kern w:val="2"/>
          <w:sz w:val="21"/>
          <w:szCs w:val="21"/>
          <w:highlight w:val="none"/>
          <w:lang w:val="en-US" w:eastAsia="zh-CN" w:bidi="ar-SA"/>
        </w:rPr>
        <w:t>备注：根据目前景洪市巡游出租车收费标准估算出租车每公里收费为2.28元/公里</w:t>
      </w:r>
    </w:p>
    <w:p w14:paraId="07517CB3">
      <w:pPr>
        <w:rPr>
          <w:rFonts w:hint="default" w:ascii="仿宋" w:hAnsi="仿宋" w:eastAsia="仿宋" w:cs="仿宋"/>
          <w:color w:val="000000"/>
          <w:kern w:val="2"/>
          <w:sz w:val="21"/>
          <w:szCs w:val="21"/>
          <w:highlight w:val="none"/>
          <w:lang w:val="en-US" w:eastAsia="zh-CN" w:bidi="ar-SA"/>
        </w:rPr>
      </w:pPr>
      <w:r>
        <w:rPr>
          <w:rFonts w:hint="default" w:ascii="仿宋" w:hAnsi="仿宋" w:eastAsia="仿宋" w:cs="仿宋"/>
          <w:color w:val="000000"/>
          <w:kern w:val="2"/>
          <w:sz w:val="21"/>
          <w:szCs w:val="21"/>
          <w:highlight w:val="none"/>
          <w:lang w:val="en-US" w:eastAsia="zh-CN" w:bidi="ar-SA"/>
        </w:rPr>
        <w:br w:type="page"/>
      </w:r>
      <w:r>
        <w:rPr>
          <w:rFonts w:hint="default" w:ascii="仿宋" w:hAnsi="仿宋" w:eastAsia="仿宋" w:cs="仿宋"/>
          <w:color w:val="000000"/>
          <w:kern w:val="2"/>
          <w:sz w:val="21"/>
          <w:szCs w:val="21"/>
          <w:highlight w:val="none"/>
          <w:lang w:val="en-US" w:eastAsia="zh-CN" w:bidi="ar-SA"/>
        </w:rPr>
        <w:br w:type="page"/>
      </w:r>
    </w:p>
    <w:p w14:paraId="4EDEA8DC">
      <w:pPr>
        <w:rPr>
          <w:rFonts w:hint="default" w:eastAsiaTheme="minorEastAsia"/>
          <w:sz w:val="21"/>
          <w:szCs w:val="21"/>
          <w:highlight w:val="none"/>
          <w:lang w:val="en-US" w:eastAsia="zh-CN"/>
        </w:rPr>
      </w:pPr>
      <w:bookmarkStart w:id="1" w:name="_GoBack"/>
      <w:bookmarkEnd w:id="1"/>
      <w:r>
        <w:rPr>
          <w:rFonts w:hint="eastAsia"/>
          <w:sz w:val="21"/>
          <w:szCs w:val="21"/>
          <w:highlight w:val="none"/>
          <w:lang w:val="en-US" w:eastAsia="zh-CN"/>
        </w:rPr>
        <w:t>附件2.</w:t>
      </w:r>
    </w:p>
    <w:p w14:paraId="6D018E7A">
      <w:pPr>
        <w:jc w:val="center"/>
        <w:rPr>
          <w:rFonts w:hint="eastAsia"/>
          <w:highlight w:val="none"/>
        </w:rPr>
      </w:pPr>
      <w:r>
        <w:rPr>
          <w:rFonts w:hint="eastAsia"/>
          <w:sz w:val="44"/>
          <w:szCs w:val="44"/>
          <w:highlight w:val="none"/>
        </w:rPr>
        <w:t>关于</w:t>
      </w:r>
      <w:r>
        <w:rPr>
          <w:rFonts w:hint="eastAsia"/>
          <w:sz w:val="44"/>
          <w:szCs w:val="44"/>
          <w:highlight w:val="none"/>
          <w:lang w:val="en-US" w:eastAsia="zh-CN"/>
        </w:rPr>
        <w:t>景洪</w:t>
      </w:r>
      <w:r>
        <w:rPr>
          <w:rFonts w:hint="eastAsia"/>
          <w:sz w:val="44"/>
          <w:szCs w:val="44"/>
          <w:highlight w:val="none"/>
        </w:rPr>
        <w:t>市出租车运价调整的成本及政策依据说明</w:t>
      </w:r>
    </w:p>
    <w:p w14:paraId="0191F33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p>
    <w:p w14:paraId="20F5EDF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为保障出租车行业可持续运营、提升服务质量，结合当前运营成本变化及行业发展实际，现就本次出租车运价调整的依据说明如下：</w:t>
      </w:r>
    </w:p>
    <w:p w14:paraId="11B710B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一、政策与法规依据</w:t>
      </w:r>
    </w:p>
    <w:p w14:paraId="5B37B0D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1.国家定价规则：依据《中华人民共和国价格法》《政府制定价格行为规则》（国家发改委令第7号），出租车运价属于“政府指导价”范畴，可根据成本变化、社会承受能力等因素调整。</w:t>
      </w:r>
    </w:p>
    <w:p w14:paraId="5A0110A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行业监管要求：参照《交通运输部关于深化改革推进出租汽车行业健康发展的指导意见》（交运发〔2016〕40号）中“建立健全运价动态调整机制，合理确定运价水平和结构”的要求，本次调价符合行业改革方向。</w:t>
      </w:r>
    </w:p>
    <w:p w14:paraId="6D3E7C4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3.地方政策支撑：依据《景洪市人民政府关于印发《景洪市城市出租汽车管理办法（试行）》（景政发〔</w:t>
      </w:r>
      <w:r>
        <w:rPr>
          <w:rFonts w:hint="default" w:ascii="仿宋" w:hAnsi="仿宋" w:eastAsia="仿宋" w:cs="仿宋"/>
          <w:sz w:val="28"/>
          <w:szCs w:val="28"/>
          <w:highlight w:val="none"/>
        </w:rPr>
        <w:t>2014〕32号</w:t>
      </w:r>
      <w:r>
        <w:rPr>
          <w:rFonts w:hint="eastAsia" w:ascii="仿宋" w:hAnsi="仿宋" w:eastAsia="仿宋" w:cs="仿宋"/>
          <w:sz w:val="28"/>
          <w:szCs w:val="28"/>
          <w:highlight w:val="none"/>
        </w:rPr>
        <w:t>）第三十一条“建立统一的城市出租汽车信息化服务、监控管理平台，鼓励发展城市出租汽车电召服务。交通运输行政主管部门应当配合价格管理部门根据出租车行业定位、运营成本、经济发展水平等因素，报请省级有关部门合理制定运价和电召服务收费标准。同时，根据城市出租汽车燃料价格等成本因素变化情况，建立城市出租汽车运价与燃料价格联动机制。”的规定，本次测算严格遵循地方法规流程。</w:t>
      </w:r>
    </w:p>
    <w:p w14:paraId="5CDA4BE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二、成本上涨的核心数据依据</w:t>
      </w:r>
    </w:p>
    <w:p w14:paraId="5D7FD10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本次调价主要基于近年出租车运营成本显著上涨的客观事实，数据均来自官方统计或行业备案信息：</w:t>
      </w:r>
    </w:p>
    <w:p w14:paraId="1ED36FD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1.人工成本：驾驶员年均薪酬从2021年的27,967.81元上涨至2023年的51,811.00元，涨幅85.25%（数据来源：西双版纳州统计局年鉴）。</w:t>
      </w:r>
    </w:p>
    <w:p w14:paraId="7CBAB34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b w:val="0"/>
          <w:bCs w:val="0"/>
          <w:kern w:val="2"/>
          <w:sz w:val="28"/>
          <w:szCs w:val="28"/>
          <w:highlight w:val="none"/>
          <w:lang w:val="en-US" w:eastAsia="zh-CN" w:bidi="ar-SA"/>
        </w:rPr>
        <w:t>2.能源成本：汽油（92号）均价从原来的7.88元/</w:t>
      </w:r>
      <w:r>
        <w:rPr>
          <w:rFonts w:hint="eastAsia" w:ascii="仿宋" w:hAnsi="仿宋" w:eastAsia="仿宋" w:cs="仿宋"/>
          <w:sz w:val="28"/>
          <w:szCs w:val="28"/>
          <w:highlight w:val="none"/>
        </w:rPr>
        <w:t>升上涨至</w:t>
      </w:r>
      <w:r>
        <w:rPr>
          <w:rFonts w:hint="eastAsia" w:ascii="仿宋" w:hAnsi="仿宋" w:eastAsia="仿宋" w:cs="仿宋"/>
          <w:sz w:val="28"/>
          <w:szCs w:val="28"/>
          <w:highlight w:val="none"/>
          <w:lang w:val="en-US" w:eastAsia="zh-CN"/>
        </w:rPr>
        <w:t>7.96</w:t>
      </w:r>
      <w:r>
        <w:rPr>
          <w:rFonts w:hint="eastAsia" w:ascii="仿宋" w:hAnsi="仿宋" w:eastAsia="仿宋" w:cs="仿宋"/>
          <w:sz w:val="28"/>
          <w:szCs w:val="28"/>
          <w:highlight w:val="none"/>
        </w:rPr>
        <w:t>元/升，涨幅</w:t>
      </w:r>
      <w:r>
        <w:rPr>
          <w:rFonts w:hint="eastAsia" w:ascii="仿宋" w:hAnsi="仿宋" w:eastAsia="仿宋" w:cs="仿宋"/>
          <w:sz w:val="28"/>
          <w:szCs w:val="28"/>
          <w:highlight w:val="none"/>
          <w:lang w:val="en-US" w:eastAsia="zh-CN"/>
        </w:rPr>
        <w:t>1.02</w:t>
      </w:r>
      <w:r>
        <w:rPr>
          <w:rFonts w:hint="eastAsia" w:ascii="仿宋" w:hAnsi="仿宋" w:eastAsia="仿宋" w:cs="仿宋"/>
          <w:sz w:val="28"/>
          <w:szCs w:val="28"/>
          <w:highlight w:val="none"/>
        </w:rPr>
        <w:t>%（数据来</w:t>
      </w:r>
      <w:r>
        <w:rPr>
          <w:rFonts w:hint="eastAsia" w:ascii="仿宋" w:hAnsi="仿宋" w:eastAsia="仿宋" w:cs="仿宋"/>
          <w:b w:val="0"/>
          <w:bCs w:val="0"/>
          <w:kern w:val="2"/>
          <w:sz w:val="28"/>
          <w:szCs w:val="28"/>
          <w:highlight w:val="none"/>
          <w:lang w:val="en-US" w:eastAsia="zh-CN" w:bidi="ar-SA"/>
        </w:rPr>
        <w:t>源：云南省发展和改革委员会发布《云南省成品油价格调整信息》）</w:t>
      </w:r>
      <w:r>
        <w:rPr>
          <w:rFonts w:hint="eastAsia" w:ascii="仿宋" w:hAnsi="仿宋" w:eastAsia="仿宋" w:cs="仿宋"/>
          <w:sz w:val="28"/>
          <w:szCs w:val="28"/>
          <w:highlight w:val="none"/>
        </w:rPr>
        <w:t>；电动车充电成本</w:t>
      </w:r>
      <w:r>
        <w:rPr>
          <w:rFonts w:hint="eastAsia" w:ascii="仿宋" w:hAnsi="仿宋" w:eastAsia="仿宋" w:cs="仿宋"/>
          <w:sz w:val="28"/>
          <w:szCs w:val="28"/>
          <w:highlight w:val="none"/>
          <w:lang w:val="en-US" w:eastAsia="zh-CN"/>
        </w:rPr>
        <w:t>也在小幅上涨，由于各地方收费不同，未见发表具体数据</w:t>
      </w:r>
      <w:r>
        <w:rPr>
          <w:rFonts w:hint="eastAsia" w:ascii="仿宋" w:hAnsi="仿宋" w:eastAsia="仿宋" w:cs="仿宋"/>
          <w:sz w:val="28"/>
          <w:szCs w:val="28"/>
          <w:highlight w:val="none"/>
        </w:rPr>
        <w:t>。</w:t>
      </w:r>
    </w:p>
    <w:p w14:paraId="6C161FC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3.车辆及运维成本：</w:t>
      </w:r>
    </w:p>
    <w:p w14:paraId="5D9931B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主流运营车型购置价从2022年的99,800.00元上涨至139,800.00元，涨幅40.08%（参考</w:t>
      </w:r>
      <w:r>
        <w:rPr>
          <w:rFonts w:hint="eastAsia" w:ascii="仿宋" w:hAnsi="仿宋" w:eastAsia="仿宋" w:cs="仿宋"/>
          <w:sz w:val="28"/>
          <w:szCs w:val="28"/>
          <w:highlight w:val="none"/>
          <w:lang w:val="en-US" w:eastAsia="zh-CN"/>
        </w:rPr>
        <w:t>景洪</w:t>
      </w:r>
      <w:r>
        <w:rPr>
          <w:rFonts w:hint="eastAsia" w:ascii="仿宋" w:hAnsi="仿宋" w:eastAsia="仿宋" w:cs="仿宋"/>
          <w:sz w:val="28"/>
          <w:szCs w:val="28"/>
          <w:highlight w:val="none"/>
        </w:rPr>
        <w:t>市政府采购中心车辆采购中标公告）。</w:t>
      </w:r>
    </w:p>
    <w:p w14:paraId="179B656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4.合规成本：车辆</w:t>
      </w:r>
      <w:r>
        <w:rPr>
          <w:rFonts w:hint="eastAsia" w:ascii="仿宋" w:hAnsi="仿宋" w:eastAsia="仿宋" w:cs="仿宋"/>
          <w:sz w:val="28"/>
          <w:szCs w:val="28"/>
          <w:highlight w:val="none"/>
          <w:lang w:val="en-US" w:eastAsia="zh-CN"/>
        </w:rPr>
        <w:t>折旧</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行车燃料费</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车辆保险费、维修保养</w:t>
      </w:r>
      <w:r>
        <w:rPr>
          <w:rFonts w:hint="default" w:ascii="仿宋" w:hAnsi="仿宋" w:eastAsia="仿宋" w:cs="仿宋"/>
          <w:sz w:val="28"/>
          <w:szCs w:val="28"/>
          <w:highlight w:val="none"/>
          <w:lang w:val="en-US" w:eastAsia="zh-CN"/>
        </w:rPr>
        <w:t>.</w:t>
      </w:r>
      <w:r>
        <w:rPr>
          <w:rFonts w:hint="eastAsia" w:ascii="仿宋" w:hAnsi="仿宋" w:eastAsia="仿宋" w:cs="仿宋"/>
          <w:sz w:val="28"/>
          <w:szCs w:val="28"/>
          <w:highlight w:val="none"/>
          <w:lang w:val="en-US" w:eastAsia="zh-CN"/>
        </w:rPr>
        <w:t>轮胎更换</w:t>
      </w:r>
      <w:r>
        <w:rPr>
          <w:rFonts w:hint="default" w:ascii="仿宋" w:hAnsi="仿宋" w:eastAsia="仿宋" w:cs="仿宋"/>
          <w:sz w:val="28"/>
          <w:szCs w:val="28"/>
          <w:highlight w:val="none"/>
          <w:lang w:val="en-US" w:eastAsia="zh-CN"/>
        </w:rPr>
        <w:t>.</w:t>
      </w:r>
      <w:r>
        <w:rPr>
          <w:rFonts w:hint="eastAsia" w:ascii="仿宋" w:hAnsi="仿宋" w:eastAsia="仿宋" w:cs="仿宋"/>
          <w:sz w:val="28"/>
          <w:szCs w:val="28"/>
          <w:highlight w:val="none"/>
          <w:lang w:val="en-US" w:eastAsia="zh-CN"/>
        </w:rPr>
        <w:t>车辆规费</w:t>
      </w:r>
      <w:r>
        <w:rPr>
          <w:rFonts w:hint="eastAsia" w:ascii="仿宋" w:hAnsi="仿宋" w:eastAsia="仿宋" w:cs="仿宋"/>
          <w:sz w:val="28"/>
          <w:szCs w:val="28"/>
          <w:highlight w:val="none"/>
        </w:rPr>
        <w:t>等强制性支出年均</w:t>
      </w:r>
      <w:r>
        <w:rPr>
          <w:rFonts w:hint="eastAsia" w:ascii="仿宋" w:hAnsi="仿宋" w:eastAsia="仿宋" w:cs="仿宋"/>
          <w:sz w:val="28"/>
          <w:szCs w:val="28"/>
          <w:highlight w:val="none"/>
          <w:lang w:val="en-US" w:eastAsia="zh-CN"/>
        </w:rPr>
        <w:t>85,993.35</w:t>
      </w:r>
      <w:r>
        <w:rPr>
          <w:rFonts w:hint="eastAsia" w:ascii="仿宋" w:hAnsi="仿宋" w:eastAsia="仿宋" w:cs="仿宋"/>
          <w:sz w:val="28"/>
          <w:szCs w:val="28"/>
          <w:highlight w:val="none"/>
        </w:rPr>
        <w:t>元/车（依据</w:t>
      </w:r>
      <w:r>
        <w:rPr>
          <w:rFonts w:hint="eastAsia" w:ascii="仿宋" w:hAnsi="仿宋" w:eastAsia="仿宋" w:cs="仿宋"/>
          <w:sz w:val="28"/>
          <w:szCs w:val="28"/>
          <w:highlight w:val="none"/>
          <w:lang w:val="en-US" w:eastAsia="zh-CN"/>
        </w:rPr>
        <w:t>本次成本测算平均数</w:t>
      </w:r>
      <w:r>
        <w:rPr>
          <w:rFonts w:hint="eastAsia" w:ascii="仿宋" w:hAnsi="仿宋" w:eastAsia="仿宋" w:cs="仿宋"/>
          <w:sz w:val="28"/>
          <w:szCs w:val="28"/>
          <w:highlight w:val="none"/>
        </w:rPr>
        <w:t>）。</w:t>
      </w:r>
    </w:p>
    <w:p w14:paraId="1C0E5C1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经测算，单台出租车日均运营成本</w:t>
      </w:r>
      <w:r>
        <w:rPr>
          <w:rFonts w:hint="eastAsia" w:ascii="仿宋" w:hAnsi="仿宋" w:eastAsia="仿宋" w:cs="仿宋"/>
          <w:sz w:val="28"/>
          <w:szCs w:val="28"/>
          <w:highlight w:val="none"/>
          <w:lang w:val="en-US" w:eastAsia="zh-CN"/>
        </w:rPr>
        <w:t>235.60元(按356天计算）</w:t>
      </w:r>
      <w:r>
        <w:rPr>
          <w:rFonts w:hint="eastAsia" w:ascii="仿宋" w:hAnsi="仿宋" w:eastAsia="仿宋" w:cs="仿宋"/>
          <w:sz w:val="28"/>
          <w:szCs w:val="28"/>
          <w:highlight w:val="none"/>
        </w:rPr>
        <w:t>，远超当前运价水平下的收益，行业普遍出现运营压力。</w:t>
      </w:r>
    </w:p>
    <w:p w14:paraId="2001DCD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三、社会与行业平衡依据</w:t>
      </w:r>
    </w:p>
    <w:p w14:paraId="04B5AB9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1.居民承受能力评估：参考</w:t>
      </w:r>
      <w:r>
        <w:rPr>
          <w:rFonts w:hint="eastAsia" w:ascii="仿宋" w:hAnsi="仿宋" w:eastAsia="仿宋" w:cs="仿宋"/>
          <w:sz w:val="28"/>
          <w:szCs w:val="28"/>
          <w:highlight w:val="none"/>
          <w:lang w:val="en-US" w:eastAsia="zh-CN"/>
        </w:rPr>
        <w:t>景洪市2024年国民经济和社会发展统计公报</w:t>
      </w:r>
      <w:r>
        <w:rPr>
          <w:rFonts w:hint="eastAsia" w:ascii="仿宋" w:hAnsi="仿宋" w:eastAsia="仿宋" w:cs="仿宋"/>
          <w:sz w:val="28"/>
          <w:szCs w:val="28"/>
          <w:highlight w:val="none"/>
        </w:rPr>
        <w:t>，全年全体居民人均可支配收入34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856</w:t>
      </w:r>
      <w:r>
        <w:rPr>
          <w:rFonts w:hint="eastAsia" w:ascii="仿宋" w:hAnsi="仿宋" w:eastAsia="仿宋" w:cs="仿宋"/>
          <w:sz w:val="28"/>
          <w:szCs w:val="28"/>
          <w:highlight w:val="none"/>
          <w:lang w:val="en-US" w:eastAsia="zh-CN"/>
        </w:rPr>
        <w:t>.00</w:t>
      </w:r>
      <w:r>
        <w:rPr>
          <w:rFonts w:hint="eastAsia" w:ascii="仿宋" w:hAnsi="仿宋" w:eastAsia="仿宋" w:cs="仿宋"/>
          <w:sz w:val="28"/>
          <w:szCs w:val="28"/>
          <w:highlight w:val="none"/>
        </w:rPr>
        <w:t>元，比上年增长6.0%</w:t>
      </w:r>
    </w:p>
    <w:p w14:paraId="62653B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2.同行业比价参考：周边同类城市（如</w:t>
      </w:r>
      <w:r>
        <w:rPr>
          <w:rFonts w:hint="eastAsia" w:ascii="仿宋" w:hAnsi="仿宋" w:eastAsia="仿宋" w:cs="仿宋"/>
          <w:sz w:val="28"/>
          <w:szCs w:val="28"/>
          <w:highlight w:val="none"/>
          <w:lang w:val="en-US" w:eastAsia="zh-CN"/>
        </w:rPr>
        <w:t>丽江市、昆明市、成都市</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均实行了节假日加价政策</w:t>
      </w:r>
      <w:r>
        <w:rPr>
          <w:rFonts w:hint="eastAsia" w:ascii="仿宋" w:hAnsi="仿宋" w:eastAsia="仿宋" w:cs="仿宋"/>
          <w:sz w:val="28"/>
          <w:szCs w:val="28"/>
          <w:highlight w:val="none"/>
          <w:lang w:eastAsia="zh-CN"/>
        </w:rPr>
        <w:t>。</w:t>
      </w:r>
    </w:p>
    <w:p w14:paraId="2E1CE44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2022年1</w:t>
      </w:r>
      <w:r>
        <w:rPr>
          <w:rFonts w:hint="eastAsia" w:ascii="仿宋" w:hAnsi="仿宋" w:eastAsia="仿宋" w:cs="仿宋"/>
          <w:sz w:val="28"/>
          <w:szCs w:val="28"/>
          <w:highlight w:val="none"/>
        </w:rPr>
        <w:t>月26日，从市交通运输综合行政执法队获悉，按照市发改委（丽发改价格〔2021〕364号）文件规定，市区巡游出租车春节假期执行临时运价：每年春节期间(国务院办公厅公布春节放假调休时间)巡游出租车计价器外每车次另加收10元。</w:t>
      </w:r>
    </w:p>
    <w:p w14:paraId="7F804F2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2022年7月28日，昆明市召开出租汽车行业运价调整新闻通报会，为鼓励巡游出租汽车驾驶员节假日继续提供运营服务，确保人民群众的用车需求，</w:t>
      </w:r>
      <w:r>
        <w:rPr>
          <w:rFonts w:hint="default" w:ascii="仿宋" w:hAnsi="仿宋" w:eastAsia="仿宋" w:cs="仿宋"/>
          <w:sz w:val="28"/>
          <w:szCs w:val="28"/>
          <w:highlight w:val="none"/>
          <w:lang w:val="en-US" w:eastAsia="zh-CN"/>
        </w:rPr>
        <w:t>在“春节”“国庆”两节放假期间租用车辆的，每车次加收5元。</w:t>
      </w:r>
    </w:p>
    <w:p w14:paraId="1B5119C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2022年</w:t>
      </w:r>
      <w:r>
        <w:rPr>
          <w:rFonts w:hint="default" w:ascii="仿宋" w:hAnsi="仿宋" w:eastAsia="仿宋" w:cs="仿宋"/>
          <w:sz w:val="28"/>
          <w:szCs w:val="28"/>
          <w:highlight w:val="none"/>
          <w:lang w:val="en-US" w:eastAsia="zh-CN"/>
        </w:rPr>
        <w:t>11月29日，成都市交通运输局联合成都市发展和改革委员会召开中心城区融合区域巡游出租汽车运价机制调整听证会。调整现有运价方案。根据车型的价格分别设置不同起步价标准（现有车型起步价保持不变）。根据成本监审结果，车公里租价由1.9元/公里调整至2.3元/公里。调整夜间（23:00-次日06:00）行驶费用。为缓解春节期间“打车难”问题，增设春节假期每单5元的服务费。</w:t>
      </w:r>
    </w:p>
    <w:p w14:paraId="564C675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下表对比了不同城市的出租车基本价格和节假日情况：</w:t>
      </w:r>
    </w:p>
    <w:tbl>
      <w:tblPr>
        <w:tblStyle w:val="4"/>
        <w:tblW w:w="5647" w:type="pct"/>
        <w:tblInd w:w="-55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1"/>
        <w:gridCol w:w="1084"/>
        <w:gridCol w:w="1089"/>
        <w:gridCol w:w="1108"/>
        <w:gridCol w:w="1087"/>
        <w:gridCol w:w="3190"/>
        <w:gridCol w:w="1156"/>
      </w:tblGrid>
      <w:tr w14:paraId="5062E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blHeader/>
        </w:trPr>
        <w:tc>
          <w:tcPr>
            <w:tcW w:w="5000" w:type="pct"/>
            <w:gridSpan w:val="7"/>
            <w:tcBorders>
              <w:top w:val="nil"/>
              <w:left w:val="nil"/>
              <w:bottom w:val="nil"/>
              <w:right w:val="nil"/>
            </w:tcBorders>
            <w:shd w:val="clear" w:color="auto" w:fill="auto"/>
            <w:vAlign w:val="center"/>
          </w:tcPr>
          <w:p w14:paraId="1D79E5CA">
            <w:pPr>
              <w:keepNext w:val="0"/>
              <w:keepLines w:val="0"/>
              <w:widowControl/>
              <w:suppressLineNumbers w:val="0"/>
              <w:jc w:val="center"/>
              <w:textAlignment w:val="center"/>
              <w:rPr>
                <w:rFonts w:ascii="Segoe UI" w:hAnsi="Segoe UI" w:eastAsia="Segoe UI" w:cs="Segoe UI"/>
                <w:i w:val="0"/>
                <w:iCs w:val="0"/>
                <w:color w:val="404040"/>
                <w:sz w:val="28"/>
                <w:szCs w:val="28"/>
                <w:highlight w:val="none"/>
                <w:u w:val="none"/>
              </w:rPr>
            </w:pPr>
            <w:r>
              <w:rPr>
                <w:rFonts w:hint="eastAsia" w:ascii="Segoe UI" w:hAnsi="Segoe UI" w:eastAsia="Segoe UI" w:cs="Segoe UI"/>
                <w:i w:val="0"/>
                <w:iCs w:val="0"/>
                <w:color w:val="404040"/>
                <w:kern w:val="0"/>
                <w:sz w:val="28"/>
                <w:szCs w:val="28"/>
                <w:highlight w:val="none"/>
                <w:u w:val="none"/>
                <w:lang w:val="en-US" w:eastAsia="zh-CN" w:bidi="ar"/>
              </w:rPr>
              <w:t>各地</w:t>
            </w:r>
            <w:r>
              <w:rPr>
                <w:rFonts w:hint="default" w:ascii="仿宋" w:hAnsi="仿宋" w:eastAsia="仿宋" w:cs="仿宋"/>
                <w:sz w:val="28"/>
                <w:szCs w:val="28"/>
                <w:highlight w:val="none"/>
                <w:lang w:val="en-US" w:eastAsia="zh-CN"/>
              </w:rPr>
              <w:t>巡游出租</w:t>
            </w:r>
            <w:r>
              <w:rPr>
                <w:rFonts w:hint="eastAsia" w:ascii="仿宋" w:hAnsi="仿宋" w:eastAsia="仿宋" w:cs="仿宋"/>
                <w:sz w:val="28"/>
                <w:szCs w:val="28"/>
                <w:highlight w:val="none"/>
                <w:lang w:val="en-US" w:eastAsia="zh-CN"/>
              </w:rPr>
              <w:t>车</w:t>
            </w:r>
            <w:r>
              <w:rPr>
                <w:rFonts w:hint="default" w:ascii="Segoe UI" w:hAnsi="Segoe UI" w:eastAsia="Segoe UI" w:cs="Segoe UI"/>
                <w:i w:val="0"/>
                <w:iCs w:val="0"/>
                <w:color w:val="404040"/>
                <w:kern w:val="0"/>
                <w:sz w:val="28"/>
                <w:szCs w:val="28"/>
                <w:highlight w:val="none"/>
                <w:u w:val="none"/>
                <w:lang w:val="en-US" w:eastAsia="zh-CN" w:bidi="ar"/>
              </w:rPr>
              <w:t>费用对比总表</w:t>
            </w:r>
          </w:p>
        </w:tc>
      </w:tr>
      <w:tr w14:paraId="65B84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D54A8">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城市</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1A77F">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5公里</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3AEAA">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10公里</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8248C">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15公里</w:t>
            </w:r>
          </w:p>
        </w:tc>
        <w:tc>
          <w:tcPr>
            <w:tcW w:w="564" w:type="pct"/>
            <w:tcBorders>
              <w:top w:val="single" w:color="000000" w:sz="4" w:space="0"/>
              <w:left w:val="single" w:color="000000" w:sz="4" w:space="0"/>
              <w:bottom w:val="nil"/>
              <w:right w:val="single" w:color="auto" w:sz="4" w:space="0"/>
            </w:tcBorders>
            <w:shd w:val="clear" w:color="auto" w:fill="auto"/>
            <w:vAlign w:val="center"/>
          </w:tcPr>
          <w:p w14:paraId="3025105C">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20公里</w:t>
            </w:r>
          </w:p>
        </w:tc>
        <w:tc>
          <w:tcPr>
            <w:tcW w:w="1657" w:type="pct"/>
            <w:tcBorders>
              <w:top w:val="single" w:color="auto" w:sz="4" w:space="0"/>
              <w:left w:val="single" w:color="auto" w:sz="4" w:space="0"/>
              <w:bottom w:val="single" w:color="auto" w:sz="4" w:space="0"/>
              <w:right w:val="single" w:color="auto" w:sz="4" w:space="0"/>
            </w:tcBorders>
            <w:shd w:val="clear" w:color="auto" w:fill="auto"/>
            <w:vAlign w:val="center"/>
          </w:tcPr>
          <w:p w14:paraId="1BB5651C">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空驶费规则</w:t>
            </w:r>
          </w:p>
        </w:tc>
        <w:tc>
          <w:tcPr>
            <w:tcW w:w="6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C4C7B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节假日加价情况</w:t>
            </w:r>
          </w:p>
        </w:tc>
      </w:tr>
      <w:tr w14:paraId="1F6AF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9717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景洪</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446D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12元</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2040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21.6元</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43ED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34.2元</w:t>
            </w:r>
          </w:p>
        </w:tc>
        <w:tc>
          <w:tcPr>
            <w:tcW w:w="564" w:type="pct"/>
            <w:tcBorders>
              <w:top w:val="single" w:color="000000" w:sz="4" w:space="0"/>
              <w:left w:val="single" w:color="000000" w:sz="4" w:space="0"/>
              <w:bottom w:val="single" w:color="000000" w:sz="4" w:space="0"/>
              <w:right w:val="single" w:color="auto" w:sz="4" w:space="0"/>
            </w:tcBorders>
            <w:shd w:val="clear" w:color="auto" w:fill="auto"/>
            <w:vAlign w:val="center"/>
          </w:tcPr>
          <w:p w14:paraId="128E081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46.8元</w:t>
            </w:r>
          </w:p>
        </w:tc>
        <w:tc>
          <w:tcPr>
            <w:tcW w:w="1657" w:type="pct"/>
            <w:tcBorders>
              <w:top w:val="single" w:color="auto" w:sz="4" w:space="0"/>
              <w:left w:val="single" w:color="auto" w:sz="4" w:space="0"/>
              <w:bottom w:val="single" w:color="auto" w:sz="4" w:space="0"/>
              <w:right w:val="single" w:color="auto" w:sz="4" w:space="0"/>
            </w:tcBorders>
            <w:shd w:val="clear" w:color="auto" w:fill="auto"/>
            <w:vAlign w:val="center"/>
          </w:tcPr>
          <w:p w14:paraId="5B8F76B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单程超10公里加50%里程费</w:t>
            </w:r>
          </w:p>
        </w:tc>
        <w:tc>
          <w:tcPr>
            <w:tcW w:w="6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706A9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不加价</w:t>
            </w:r>
          </w:p>
        </w:tc>
      </w:tr>
      <w:tr w14:paraId="6729B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E7E0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大理</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D5E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13元</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433C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22元</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21A2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35.5元</w:t>
            </w:r>
          </w:p>
        </w:tc>
        <w:tc>
          <w:tcPr>
            <w:tcW w:w="564" w:type="pct"/>
            <w:tcBorders>
              <w:top w:val="single" w:color="000000" w:sz="4" w:space="0"/>
              <w:left w:val="single" w:color="000000" w:sz="4" w:space="0"/>
              <w:bottom w:val="single" w:color="000000" w:sz="4" w:space="0"/>
              <w:right w:val="single" w:color="auto" w:sz="4" w:space="0"/>
            </w:tcBorders>
            <w:shd w:val="clear" w:color="auto" w:fill="auto"/>
            <w:vAlign w:val="center"/>
          </w:tcPr>
          <w:p w14:paraId="46183AC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49元</w:t>
            </w:r>
          </w:p>
        </w:tc>
        <w:tc>
          <w:tcPr>
            <w:tcW w:w="1657" w:type="pct"/>
            <w:tcBorders>
              <w:top w:val="single" w:color="auto" w:sz="4" w:space="0"/>
              <w:left w:val="single" w:color="auto" w:sz="4" w:space="0"/>
              <w:bottom w:val="single" w:color="auto" w:sz="4" w:space="0"/>
              <w:right w:val="single" w:color="auto" w:sz="4" w:space="0"/>
            </w:tcBorders>
            <w:shd w:val="clear" w:color="auto" w:fill="auto"/>
            <w:vAlign w:val="center"/>
          </w:tcPr>
          <w:p w14:paraId="495FCB8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单程超8公里加50%里程费</w:t>
            </w:r>
          </w:p>
        </w:tc>
        <w:tc>
          <w:tcPr>
            <w:tcW w:w="6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04ACF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不加价</w:t>
            </w:r>
          </w:p>
        </w:tc>
      </w:tr>
      <w:tr w14:paraId="78FBB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A177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昆明</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DB35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13.6元</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6C1F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22.6元</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A597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36.1元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7832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49.6元</w:t>
            </w:r>
          </w:p>
        </w:tc>
        <w:tc>
          <w:tcPr>
            <w:tcW w:w="1657" w:type="pct"/>
            <w:tcBorders>
              <w:top w:val="single" w:color="auto" w:sz="4" w:space="0"/>
              <w:left w:val="single" w:color="000000" w:sz="4" w:space="0"/>
              <w:bottom w:val="single" w:color="000000" w:sz="4" w:space="0"/>
              <w:right w:val="single" w:color="000000" w:sz="4" w:space="0"/>
            </w:tcBorders>
            <w:shd w:val="clear" w:color="auto" w:fill="auto"/>
            <w:vAlign w:val="center"/>
          </w:tcPr>
          <w:p w14:paraId="268EE0B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单程超10公里加50%里程费</w:t>
            </w:r>
          </w:p>
        </w:tc>
        <w:tc>
          <w:tcPr>
            <w:tcW w:w="600"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B843D4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另加收5元</w:t>
            </w:r>
          </w:p>
        </w:tc>
      </w:tr>
      <w:tr w14:paraId="6AAED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9B46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成都</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F3C7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14元</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8773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23元</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A557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36.5元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75CE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50元</w:t>
            </w:r>
          </w:p>
        </w:tc>
        <w:tc>
          <w:tcPr>
            <w:tcW w:w="1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149B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单程超10公里加50%里程费</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02A1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另加收5元</w:t>
            </w:r>
          </w:p>
        </w:tc>
      </w:tr>
      <w:tr w14:paraId="1D9C2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blHeader/>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4BB9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丽江</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871F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15.8元</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35B3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33.8元</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0CFC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51.8元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25FB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69.8元</w:t>
            </w:r>
          </w:p>
        </w:tc>
        <w:tc>
          <w:tcPr>
            <w:tcW w:w="1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D7C7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单程超5公里加1元/公里</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967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另加收10元</w:t>
            </w:r>
          </w:p>
        </w:tc>
      </w:tr>
    </w:tbl>
    <w:p w14:paraId="3C4954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val="en-US" w:eastAsia="zh-CN"/>
        </w:rPr>
      </w:pPr>
    </w:p>
    <w:p w14:paraId="7C0262A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下表对比网约车与巡游车节假日价格情况：</w:t>
      </w:r>
    </w:p>
    <w:tbl>
      <w:tblPr>
        <w:tblStyle w:val="4"/>
        <w:tblW w:w="5685" w:type="pct"/>
        <w:tblInd w:w="-55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25"/>
        <w:gridCol w:w="2533"/>
        <w:gridCol w:w="1433"/>
        <w:gridCol w:w="2167"/>
        <w:gridCol w:w="1458"/>
        <w:gridCol w:w="974"/>
      </w:tblGrid>
      <w:tr w14:paraId="4FB0F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5000" w:type="pct"/>
            <w:gridSpan w:val="6"/>
            <w:tcBorders>
              <w:top w:val="nil"/>
              <w:left w:val="nil"/>
              <w:bottom w:val="single" w:color="auto" w:sz="4" w:space="0"/>
              <w:right w:val="nil"/>
            </w:tcBorders>
            <w:shd w:val="clear" w:color="auto" w:fill="auto"/>
            <w:noWrap/>
            <w:vAlign w:val="center"/>
          </w:tcPr>
          <w:p w14:paraId="1AB1D0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Segoe UI" w:hAnsi="Segoe UI" w:eastAsia="Segoe UI" w:cs="Segoe UI"/>
                <w:i w:val="0"/>
                <w:iCs w:val="0"/>
                <w:color w:val="404040"/>
                <w:kern w:val="0"/>
                <w:sz w:val="28"/>
                <w:szCs w:val="28"/>
                <w:highlight w:val="none"/>
                <w:u w:val="none"/>
                <w:lang w:val="en-US" w:eastAsia="zh-CN" w:bidi="ar"/>
              </w:rPr>
              <w:t>网约车与巡游车节假日对比表</w:t>
            </w:r>
          </w:p>
        </w:tc>
      </w:tr>
      <w:tr w14:paraId="7E8D9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319809">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平台</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40509574">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调价机制</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4B4A359A">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客单量情况</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00793E3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客单价情况</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0D855667">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出车量情况</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314375E0">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投诉情况</w:t>
            </w:r>
          </w:p>
        </w:tc>
      </w:tr>
      <w:tr w14:paraId="7E34A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43949D">
            <w:pPr>
              <w:keepNext w:val="0"/>
              <w:keepLines w:val="0"/>
              <w:widowControl/>
              <w:suppressLineNumbers w:val="0"/>
              <w:jc w:val="left"/>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网约车1</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4056D1A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增加30%</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59E625B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2-4倍</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3FA0296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增加15%左右</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31CD93A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增加20%左右</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21BF02B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增加5%左右</w:t>
            </w:r>
          </w:p>
        </w:tc>
      </w:tr>
      <w:tr w14:paraId="3AA9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866B8D">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网约车2</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31F5F8B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在允许调价的节假日上浮20%，最高不超过25%</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5A02B21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增加300-600单</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79A04D1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每公里增加0.3-3.7元，主要看公里数，越长越便宜</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78A3586E">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节假日减少10辆左右</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116CB82E">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暂无</w:t>
            </w:r>
          </w:p>
        </w:tc>
      </w:tr>
      <w:tr w14:paraId="0E20D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3CDC34">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网约车3</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77E1048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在允许调价的节假日上浮20%，最高不超过25%</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7DEF308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增加150单左右</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767EB65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涨价10-20元左右</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2810EF6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节假日减少一半</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30FEA3B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无变化</w:t>
            </w:r>
          </w:p>
        </w:tc>
      </w:tr>
      <w:tr w14:paraId="6656B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D70FBA">
            <w:pPr>
              <w:keepNext w:val="0"/>
              <w:keepLines w:val="0"/>
              <w:widowControl/>
              <w:suppressLineNumbers w:val="0"/>
              <w:jc w:val="lef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2"/>
                <w:sz w:val="22"/>
                <w:szCs w:val="22"/>
                <w:highlight w:val="none"/>
                <w:u w:val="none"/>
                <w:lang w:val="en-US" w:eastAsia="zh-CN" w:bidi="ar-SA"/>
              </w:rPr>
              <w:t>网约车4</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49CC5D1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平台的调价机制不确定</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379ACB9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增加6000单</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6C57182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涨价3元左右</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3AF2D13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增加700人次</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15F4DA0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增加1-2起</w:t>
            </w:r>
          </w:p>
        </w:tc>
      </w:tr>
      <w:tr w14:paraId="10784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8166D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巡游车</w:t>
            </w:r>
          </w:p>
        </w:tc>
        <w:tc>
          <w:tcPr>
            <w:tcW w:w="1307" w:type="pct"/>
            <w:tcBorders>
              <w:top w:val="single" w:color="auto" w:sz="4" w:space="0"/>
              <w:left w:val="single" w:color="auto" w:sz="4" w:space="0"/>
              <w:bottom w:val="single" w:color="auto" w:sz="4" w:space="0"/>
              <w:right w:val="single" w:color="auto" w:sz="4" w:space="0"/>
            </w:tcBorders>
            <w:shd w:val="clear" w:color="auto" w:fill="auto"/>
            <w:vAlign w:val="center"/>
          </w:tcPr>
          <w:p w14:paraId="4E0F15C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不涨价</w:t>
            </w:r>
          </w:p>
        </w:tc>
        <w:tc>
          <w:tcPr>
            <w:tcW w:w="739" w:type="pct"/>
            <w:tcBorders>
              <w:top w:val="single" w:color="auto" w:sz="4" w:space="0"/>
              <w:left w:val="single" w:color="auto" w:sz="4" w:space="0"/>
              <w:bottom w:val="single" w:color="auto" w:sz="4" w:space="0"/>
              <w:right w:val="single" w:color="auto" w:sz="4" w:space="0"/>
            </w:tcBorders>
            <w:shd w:val="clear" w:color="auto" w:fill="auto"/>
            <w:vAlign w:val="center"/>
          </w:tcPr>
          <w:p w14:paraId="148A43C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平时的0.5-1.5倍</w:t>
            </w:r>
          </w:p>
        </w:tc>
        <w:tc>
          <w:tcPr>
            <w:tcW w:w="1118" w:type="pct"/>
            <w:tcBorders>
              <w:top w:val="single" w:color="auto" w:sz="4" w:space="0"/>
              <w:left w:val="single" w:color="auto" w:sz="4" w:space="0"/>
              <w:bottom w:val="single" w:color="auto" w:sz="4" w:space="0"/>
              <w:right w:val="single" w:color="auto" w:sz="4" w:space="0"/>
            </w:tcBorders>
            <w:shd w:val="clear" w:color="auto" w:fill="auto"/>
            <w:vAlign w:val="center"/>
          </w:tcPr>
          <w:p w14:paraId="1CD130C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不涨价</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14:paraId="494F3E9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不变</w:t>
            </w:r>
          </w:p>
        </w:tc>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58CA09C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增加2-3起</w:t>
            </w:r>
          </w:p>
        </w:tc>
      </w:tr>
    </w:tbl>
    <w:p w14:paraId="7F479C9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注：以上网约车数据取自四家网约车单位。</w:t>
      </w:r>
    </w:p>
    <w:p w14:paraId="72BBB4E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3.行业可持续性需求：当前运价下，出租车企业处于微利或亏损状态，驾驶员流失率较</w:t>
      </w:r>
      <w:r>
        <w:rPr>
          <w:rFonts w:hint="eastAsia" w:ascii="仿宋" w:hAnsi="仿宋" w:eastAsia="仿宋" w:cs="仿宋"/>
          <w:sz w:val="28"/>
          <w:szCs w:val="28"/>
          <w:highlight w:val="none"/>
          <w:lang w:val="en-US" w:eastAsia="zh-CN"/>
        </w:rPr>
        <w:t>大</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节假日适当</w:t>
      </w:r>
      <w:r>
        <w:rPr>
          <w:rFonts w:hint="eastAsia" w:ascii="仿宋" w:hAnsi="仿宋" w:eastAsia="仿宋" w:cs="仿宋"/>
          <w:sz w:val="28"/>
          <w:szCs w:val="28"/>
          <w:highlight w:val="none"/>
        </w:rPr>
        <w:t>调价可缓解企业经营压力，稳定从业人员队伍，保障服务质量。</w:t>
      </w:r>
      <w:r>
        <w:rPr>
          <w:rFonts w:hint="eastAsia" w:ascii="仿宋" w:hAnsi="仿宋" w:eastAsia="仿宋" w:cs="仿宋"/>
          <w:sz w:val="28"/>
          <w:szCs w:val="28"/>
          <w:highlight w:val="none"/>
          <w:lang w:val="en-US" w:eastAsia="zh-CN"/>
        </w:rPr>
        <w:t>建议按照网约车最低标准节假日适当调整3-5元。</w:t>
      </w:r>
    </w:p>
    <w:p w14:paraId="6DA1EE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四、测算方法合规性</w:t>
      </w:r>
    </w:p>
    <w:p w14:paraId="23C706A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本次成本测算采用《政府制定价格成本监审办法》（国家发改委令第8号）规定的“全成本法”，涵盖直接运营成本（人工、能源、车辆）和间接成本（管理、合规），数据均经企业填报、行业协会初审及市交通局复核。</w:t>
      </w:r>
    </w:p>
    <w:p w14:paraId="24C736D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综上，本次出租车运价调整基于政策允许、成本刚性上涨、社会可承受及行业可持续的多重依据，恳请交通局审议。</w:t>
      </w:r>
    </w:p>
    <w:p w14:paraId="5B5BAE63">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4272F687">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433218C8">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097B6925">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1B926586">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西双版纳吉迈斯旅游汽车有限公司</w:t>
      </w:r>
    </w:p>
    <w:p w14:paraId="30253583">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4C64B0FF">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景洪佳通出租汽车有限责任公司</w:t>
      </w:r>
    </w:p>
    <w:p w14:paraId="05C6CD95">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lang w:val="en-US" w:eastAsia="zh-CN"/>
        </w:rPr>
      </w:pPr>
    </w:p>
    <w:p w14:paraId="62ED22AE">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2025年7月21日</w:t>
      </w:r>
    </w:p>
    <w:p w14:paraId="183B1A3E">
      <w:pPr>
        <w:rPr>
          <w:rFonts w:hint="default" w:ascii="仿宋" w:hAnsi="仿宋" w:eastAsia="仿宋" w:cs="仿宋"/>
          <w:color w:val="000000"/>
          <w:kern w:val="2"/>
          <w:sz w:val="21"/>
          <w:szCs w:val="21"/>
          <w:highlight w:val="none"/>
          <w:lang w:val="en-US" w:eastAsia="zh-CN" w:bidi="ar-SA"/>
        </w:rPr>
      </w:pPr>
      <w:r>
        <w:rPr>
          <w:rFonts w:hint="default" w:ascii="仿宋" w:hAnsi="仿宋" w:eastAsia="仿宋" w:cs="仿宋"/>
          <w:color w:val="000000"/>
          <w:kern w:val="2"/>
          <w:sz w:val="21"/>
          <w:szCs w:val="21"/>
          <w:highlight w:val="none"/>
          <w:lang w:val="en-US" w:eastAsia="zh-CN" w:bidi="ar-SA"/>
        </w:rPr>
        <w:br w:type="page"/>
      </w:r>
    </w:p>
    <w:p w14:paraId="28A2A825">
      <w:pPr>
        <w:rPr>
          <w:rFonts w:hint="default" w:ascii="仿宋" w:hAnsi="仿宋" w:eastAsia="仿宋" w:cs="仿宋"/>
          <w:color w:val="000000"/>
          <w:kern w:val="2"/>
          <w:sz w:val="21"/>
          <w:szCs w:val="21"/>
          <w:highlight w:val="none"/>
          <w:lang w:val="en-US" w:eastAsia="zh-CN" w:bidi="ar-SA"/>
        </w:rPr>
      </w:pPr>
      <w:r>
        <w:rPr>
          <w:rFonts w:hint="default" w:ascii="仿宋" w:hAnsi="仿宋" w:eastAsia="仿宋" w:cs="仿宋"/>
          <w:color w:val="000000"/>
          <w:kern w:val="2"/>
          <w:sz w:val="21"/>
          <w:szCs w:val="21"/>
          <w:highlight w:val="none"/>
          <w:lang w:val="en-US" w:eastAsia="zh-CN" w:bidi="ar-SA"/>
        </w:rPr>
        <w:drawing>
          <wp:anchor distT="0" distB="0" distL="114300" distR="114300" simplePos="0" relativeHeight="251659264" behindDoc="1" locked="0" layoutInCell="1" allowOverlap="1">
            <wp:simplePos x="0" y="0"/>
            <wp:positionH relativeFrom="column">
              <wp:posOffset>-553085</wp:posOffset>
            </wp:positionH>
            <wp:positionV relativeFrom="paragraph">
              <wp:posOffset>2842895</wp:posOffset>
            </wp:positionV>
            <wp:extent cx="10124440" cy="3038475"/>
            <wp:effectExtent l="0" t="0" r="9525" b="10160"/>
            <wp:wrapTight wrapText="bothSides">
              <wp:wrapPolygon>
                <wp:start x="1" y="21600"/>
                <wp:lineTo x="21542" y="21600"/>
                <wp:lineTo x="21542" y="68"/>
                <wp:lineTo x="1" y="68"/>
                <wp:lineTo x="1" y="21600"/>
              </wp:wrapPolygon>
            </wp:wrapTight>
            <wp:docPr id="3" name="图片 3" descr="附件3.出租车公司成本对比表(1)_汇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附件3.出租车公司成本对比表(1)_汇总表"/>
                    <pic:cNvPicPr>
                      <a:picLocks noChangeAspect="1"/>
                    </pic:cNvPicPr>
                  </pic:nvPicPr>
                  <pic:blipFill>
                    <a:blip r:embed="rId6"/>
                    <a:stretch>
                      <a:fillRect/>
                    </a:stretch>
                  </pic:blipFill>
                  <pic:spPr>
                    <a:xfrm rot="5400000">
                      <a:off x="0" y="0"/>
                      <a:ext cx="10124440" cy="3038475"/>
                    </a:xfrm>
                    <a:prstGeom prst="rect">
                      <a:avLst/>
                    </a:prstGeom>
                  </pic:spPr>
                </pic:pic>
              </a:graphicData>
            </a:graphic>
          </wp:anchor>
        </w:drawing>
      </w:r>
    </w:p>
    <w:p w14:paraId="4C462F3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kern w:val="2"/>
          <w:sz w:val="21"/>
          <w:szCs w:val="21"/>
          <w:highlight w:val="none"/>
          <w:lang w:val="en-US" w:eastAsia="zh-CN" w:bidi="ar-SA"/>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auto"/>
    <w:pitch w:val="default"/>
    <w:sig w:usb0="00000000"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E162A">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5D34BF">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35D34BF">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D3356">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1F6CD7"/>
    <w:multiLevelType w:val="singleLevel"/>
    <w:tmpl w:val="F31F6CD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D29EC"/>
    <w:rsid w:val="0FC617FA"/>
    <w:rsid w:val="150A5909"/>
    <w:rsid w:val="15CA2FD4"/>
    <w:rsid w:val="1A657218"/>
    <w:rsid w:val="1F53200D"/>
    <w:rsid w:val="24C12C73"/>
    <w:rsid w:val="2DEA6739"/>
    <w:rsid w:val="39ED29EC"/>
    <w:rsid w:val="3CD92334"/>
    <w:rsid w:val="4105578C"/>
    <w:rsid w:val="49557689"/>
    <w:rsid w:val="4E684B6D"/>
    <w:rsid w:val="64C93403"/>
    <w:rsid w:val="7BA32F50"/>
    <w:rsid w:val="7C4A7F77"/>
    <w:rsid w:val="7DE35C58"/>
    <w:rsid w:val="7F853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61"/>
    <w:basedOn w:val="5"/>
    <w:qFormat/>
    <w:uiPriority w:val="0"/>
    <w:rPr>
      <w:rFonts w:hint="eastAsia" w:ascii="宋体" w:hAnsi="宋体" w:eastAsia="宋体" w:cs="宋体"/>
      <w:color w:val="000000"/>
      <w:sz w:val="20"/>
      <w:szCs w:val="20"/>
      <w:u w:val="none"/>
    </w:rPr>
  </w:style>
  <w:style w:type="character" w:customStyle="1" w:styleId="7">
    <w:name w:val="font51"/>
    <w:basedOn w:val="5"/>
    <w:qFormat/>
    <w:uiPriority w:val="0"/>
    <w:rPr>
      <w:rFonts w:hint="default" w:ascii="Arial Narrow" w:hAnsi="Arial Narrow" w:eastAsia="Arial Narrow" w:cs="Arial Narrow"/>
      <w:color w:val="000000"/>
      <w:sz w:val="20"/>
      <w:szCs w:val="20"/>
      <w:u w:val="none"/>
    </w:rPr>
  </w:style>
  <w:style w:type="character" w:customStyle="1" w:styleId="8">
    <w:name w:val="font41"/>
    <w:basedOn w:val="5"/>
    <w:qFormat/>
    <w:uiPriority w:val="0"/>
    <w:rPr>
      <w:rFonts w:hint="default" w:ascii="Arial Narrow" w:hAnsi="Arial Narrow" w:eastAsia="Arial Narrow" w:cs="Arial Narrow"/>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2913</Words>
  <Characters>3149</Characters>
  <Lines>0</Lines>
  <Paragraphs>0</Paragraphs>
  <TotalTime>1</TotalTime>
  <ScaleCrop>false</ScaleCrop>
  <LinksUpToDate>false</LinksUpToDate>
  <CharactersWithSpaces>3154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2025-09-01T02:38:00Z</dcterms:created>
  <dc:creator>依</dc:creator>
  <cp:lastModifiedBy>清汤米线</cp:lastModifiedBy>
  <dcterms:modified xsi:type="dcterms:W3CDTF">2026-01-14T23:34:55Z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DD4D7C75155C4858BACB15DF939375B1_13</vt:lpwstr>
  </property>
  <property fmtid="{D5CDD505-2E9C-101B-9397-08002B2CF9AE}" pid="4" name="KSOTemplateDocerSaveRecord">
    <vt:lpwstr>eyJoZGlkIjoiYmFmYmU0OWFjZjcwMjkyNGMzODQ2ODlmOGJjZGUwZDciLCJ1c2VySWQiOiI0MDY3MTE5NzQifQ==</vt:lpwstr>
  </property>
</Properties>
</file>